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hint="eastAsia" w:ascii="黑体" w:hAnsi="黑体" w:eastAsia="黑体"/>
          <w:bCs/>
          <w:sz w:val="36"/>
          <w:szCs w:val="36"/>
          <w:lang w:eastAsia="zh-CN"/>
        </w:rPr>
      </w:pPr>
      <w:bookmarkStart w:id="22" w:name="_GoBack"/>
      <w:bookmarkEnd w:id="22"/>
      <w:r>
        <w:rPr>
          <w:rFonts w:hint="eastAsia" w:ascii="黑体" w:hAnsi="黑体" w:eastAsia="黑体"/>
          <w:bCs/>
          <w:sz w:val="36"/>
          <w:szCs w:val="36"/>
          <w:lang w:eastAsia="zh-CN"/>
        </w:rPr>
        <w:t>南宁建宁水务投资集团有限责任公司</w:t>
      </w:r>
    </w:p>
    <w:p>
      <w:pPr>
        <w:adjustRightInd w:val="0"/>
        <w:snapToGrid w:val="0"/>
        <w:spacing w:line="360" w:lineRule="auto"/>
        <w:jc w:val="center"/>
        <w:outlineLvl w:val="0"/>
        <w:rPr>
          <w:rFonts w:ascii="黑体" w:hAnsi="黑体" w:eastAsia="黑体"/>
          <w:bCs/>
          <w:sz w:val="36"/>
          <w:szCs w:val="36"/>
        </w:rPr>
      </w:pPr>
      <w:r>
        <w:rPr>
          <w:rFonts w:hint="eastAsia" w:ascii="黑体" w:hAnsi="黑体" w:eastAsia="黑体"/>
          <w:bCs/>
          <w:sz w:val="36"/>
          <w:szCs w:val="36"/>
          <w:lang w:eastAsia="zh-CN"/>
        </w:rPr>
        <w:t>常年法律顾问竞争选聘</w:t>
      </w:r>
      <w:r>
        <w:rPr>
          <w:rFonts w:ascii="黑体" w:hAnsi="黑体" w:eastAsia="黑体"/>
          <w:bCs/>
          <w:sz w:val="36"/>
          <w:szCs w:val="36"/>
        </w:rPr>
        <w:t>评</w:t>
      </w:r>
      <w:r>
        <w:rPr>
          <w:rFonts w:hint="eastAsia" w:ascii="黑体" w:hAnsi="黑体" w:eastAsia="黑体"/>
          <w:bCs/>
          <w:sz w:val="36"/>
          <w:szCs w:val="36"/>
        </w:rPr>
        <w:t>分</w:t>
      </w:r>
      <w:r>
        <w:rPr>
          <w:rFonts w:ascii="黑体" w:hAnsi="黑体" w:eastAsia="黑体"/>
          <w:bCs/>
          <w:sz w:val="36"/>
          <w:szCs w:val="36"/>
        </w:rPr>
        <w:t>办法</w:t>
      </w:r>
    </w:p>
    <w:p>
      <w:pPr>
        <w:pStyle w:val="4"/>
        <w:spacing w:line="360" w:lineRule="auto"/>
        <w:ind w:firstLine="482"/>
        <w:rPr>
          <w:rFonts w:ascii="宋体" w:hAnsi="宋体"/>
          <w:b/>
          <w:sz w:val="24"/>
        </w:rPr>
      </w:pPr>
      <w:r>
        <w:rPr>
          <w:rFonts w:hint="eastAsia" w:ascii="宋体" w:hAnsi="宋体"/>
          <w:b/>
          <w:sz w:val="24"/>
        </w:rPr>
        <w:t>一、评选方法</w:t>
      </w:r>
    </w:p>
    <w:p>
      <w:pPr>
        <w:spacing w:line="360" w:lineRule="auto"/>
        <w:ind w:firstLine="480" w:firstLineChars="200"/>
        <w:rPr>
          <w:rFonts w:hint="eastAsia" w:ascii="宋体" w:hAnsi="宋体" w:cs="Arial"/>
          <w:sz w:val="24"/>
        </w:rPr>
      </w:pPr>
      <w:r>
        <w:rPr>
          <w:rFonts w:hint="eastAsia" w:ascii="宋体" w:hAnsi="宋体"/>
          <w:sz w:val="24"/>
        </w:rPr>
        <w:t>本次评选采用综合评分法。每一</w:t>
      </w:r>
      <w:r>
        <w:rPr>
          <w:rFonts w:hint="eastAsia" w:ascii="宋体" w:hAnsi="宋体"/>
          <w:sz w:val="24"/>
          <w:lang w:eastAsia="zh-CN"/>
        </w:rPr>
        <w:t>参选</w:t>
      </w:r>
      <w:r>
        <w:rPr>
          <w:rFonts w:hint="eastAsia" w:ascii="宋体" w:hAnsi="宋体"/>
          <w:sz w:val="24"/>
        </w:rPr>
        <w:t>人的最终得分为所有评委给其评分的算术平均值。</w:t>
      </w:r>
      <w:r>
        <w:rPr>
          <w:rFonts w:hint="eastAsia" w:ascii="宋体" w:hAnsi="宋体" w:cs="Arial"/>
          <w:sz w:val="24"/>
        </w:rPr>
        <w:t>集团公司将按照评</w:t>
      </w:r>
      <w:r>
        <w:rPr>
          <w:rFonts w:hint="eastAsia" w:ascii="宋体" w:hAnsi="宋体" w:cs="Arial"/>
          <w:sz w:val="24"/>
          <w:lang w:eastAsia="zh-CN"/>
        </w:rPr>
        <w:t>审</w:t>
      </w:r>
      <w:r>
        <w:rPr>
          <w:rFonts w:hint="eastAsia" w:ascii="宋体" w:hAnsi="宋体" w:cs="Arial"/>
          <w:sz w:val="24"/>
        </w:rPr>
        <w:t>委员会推荐的中选人顺序，并向其授予合同。</w:t>
      </w:r>
    </w:p>
    <w:p>
      <w:pPr>
        <w:spacing w:line="360" w:lineRule="auto"/>
        <w:ind w:firstLine="480" w:firstLineChars="200"/>
        <w:rPr>
          <w:rFonts w:ascii="宋体" w:hAnsi="宋体"/>
          <w:sz w:val="24"/>
        </w:rPr>
      </w:pPr>
      <w:r>
        <w:rPr>
          <w:rFonts w:hint="eastAsia" w:ascii="宋体" w:hAnsi="宋体"/>
          <w:sz w:val="24"/>
        </w:rPr>
        <w:t>本项目评分标准为：</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0"/>
        <w:gridCol w:w="4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70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ascii="宋体" w:hAnsi="宋体"/>
                <w:sz w:val="24"/>
              </w:rPr>
            </w:pPr>
            <w:r>
              <w:rPr>
                <w:rFonts w:hint="eastAsia" w:ascii="宋体" w:hAnsi="宋体"/>
                <w:sz w:val="24"/>
              </w:rPr>
              <w:t>评分因素</w:t>
            </w:r>
          </w:p>
        </w:tc>
        <w:tc>
          <w:tcPr>
            <w:tcW w:w="4322"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ascii="宋体" w:hAnsi="宋体"/>
                <w:sz w:val="24"/>
              </w:rPr>
            </w:pPr>
            <w:r>
              <w:rPr>
                <w:rFonts w:hint="eastAsia" w:ascii="宋体" w:hAnsi="宋体"/>
                <w:sz w:val="24"/>
              </w:rPr>
              <w:t>分值分配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70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ascii="宋体" w:hAnsi="宋体"/>
                <w:sz w:val="24"/>
              </w:rPr>
            </w:pPr>
            <w:r>
              <w:rPr>
                <w:rFonts w:hint="eastAsia" w:ascii="宋体" w:hAnsi="宋体"/>
                <w:sz w:val="24"/>
              </w:rPr>
              <w:t>服务部分</w:t>
            </w:r>
          </w:p>
        </w:tc>
        <w:tc>
          <w:tcPr>
            <w:tcW w:w="4322"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ascii="宋体" w:hAnsi="宋体"/>
                <w:sz w:val="24"/>
              </w:rPr>
            </w:pPr>
            <w:r>
              <w:rPr>
                <w:rFonts w:hint="eastAsia" w:ascii="宋体" w:hAnsi="宋体"/>
                <w:sz w:val="24"/>
              </w:rPr>
              <w:t>55分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70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sz w:val="24"/>
              </w:rPr>
            </w:pPr>
            <w:r>
              <w:rPr>
                <w:rFonts w:hint="eastAsia" w:ascii="宋体" w:hAnsi="宋体"/>
                <w:sz w:val="24"/>
              </w:rPr>
              <w:t>商务部分</w:t>
            </w:r>
          </w:p>
        </w:tc>
        <w:tc>
          <w:tcPr>
            <w:tcW w:w="4322"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sz w:val="24"/>
              </w:rPr>
            </w:pPr>
            <w:r>
              <w:rPr>
                <w:rFonts w:hint="eastAsia" w:ascii="宋体" w:hAnsi="宋体"/>
                <w:sz w:val="24"/>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70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sz w:val="24"/>
              </w:rPr>
            </w:pPr>
            <w:r>
              <w:rPr>
                <w:rFonts w:hint="eastAsia" w:ascii="宋体" w:hAnsi="宋体"/>
                <w:sz w:val="24"/>
              </w:rPr>
              <w:t>价格部分</w:t>
            </w:r>
          </w:p>
        </w:tc>
        <w:tc>
          <w:tcPr>
            <w:tcW w:w="4322"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sz w:val="24"/>
              </w:rPr>
            </w:pPr>
            <w:r>
              <w:rPr>
                <w:rFonts w:hint="eastAsia" w:ascii="宋体" w:hAnsi="宋体"/>
                <w:sz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370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ascii="宋体" w:hAnsi="宋体"/>
                <w:sz w:val="24"/>
              </w:rPr>
            </w:pPr>
            <w:r>
              <w:rPr>
                <w:rFonts w:hint="eastAsia" w:ascii="宋体" w:hAnsi="宋体"/>
                <w:sz w:val="24"/>
              </w:rPr>
              <w:t>合计</w:t>
            </w:r>
          </w:p>
        </w:tc>
        <w:tc>
          <w:tcPr>
            <w:tcW w:w="4322"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ascii="宋体" w:hAnsi="宋体"/>
                <w:sz w:val="24"/>
              </w:rPr>
            </w:pPr>
            <w:r>
              <w:rPr>
                <w:rFonts w:hint="eastAsia" w:ascii="宋体" w:hAnsi="宋体"/>
                <w:sz w:val="24"/>
              </w:rPr>
              <w:t>100分</w:t>
            </w:r>
          </w:p>
        </w:tc>
      </w:tr>
    </w:tbl>
    <w:p>
      <w:pPr>
        <w:spacing w:line="360" w:lineRule="auto"/>
        <w:rPr>
          <w:rFonts w:hint="eastAsia" w:ascii="宋体" w:hAnsi="宋体"/>
          <w:b/>
          <w:sz w:val="24"/>
        </w:rPr>
      </w:pPr>
    </w:p>
    <w:p>
      <w:pPr>
        <w:pStyle w:val="4"/>
        <w:spacing w:line="360" w:lineRule="auto"/>
        <w:ind w:firstLine="482"/>
        <w:rPr>
          <w:rFonts w:hint="eastAsia" w:ascii="宋体" w:hAnsi="宋体"/>
          <w:sz w:val="24"/>
        </w:rPr>
      </w:pPr>
      <w:r>
        <w:rPr>
          <w:rFonts w:hint="eastAsia" w:ascii="宋体" w:hAnsi="宋体"/>
          <w:b/>
          <w:sz w:val="24"/>
        </w:rPr>
        <w:t>二、评分因素（分值具体分配）</w:t>
      </w:r>
    </w:p>
    <w:p>
      <w:pPr>
        <w:spacing w:line="360" w:lineRule="auto"/>
        <w:jc w:val="center"/>
        <w:rPr>
          <w:rFonts w:ascii="宋体" w:hAnsi="宋体"/>
          <w:b/>
          <w:sz w:val="24"/>
        </w:rPr>
      </w:pPr>
    </w:p>
    <w:tbl>
      <w:tblPr>
        <w:tblStyle w:val="2"/>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025"/>
        <w:gridCol w:w="6804"/>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78" w:type="dxa"/>
            <w:noWrap w:val="0"/>
            <w:vAlign w:val="top"/>
          </w:tcPr>
          <w:p>
            <w:pPr>
              <w:widowControl/>
              <w:spacing w:line="380" w:lineRule="exact"/>
              <w:jc w:val="center"/>
              <w:rPr>
                <w:rFonts w:hint="eastAsia" w:ascii="宋体" w:hAnsi="宋体" w:cs="宋体"/>
                <w:b/>
                <w:kern w:val="0"/>
                <w:sz w:val="24"/>
              </w:rPr>
            </w:pPr>
            <w:r>
              <w:rPr>
                <w:rFonts w:hint="eastAsia" w:ascii="宋体" w:hAnsi="宋体" w:cs="宋体"/>
                <w:b/>
                <w:kern w:val="0"/>
                <w:sz w:val="24"/>
              </w:rPr>
              <w:t>总项及权重</w:t>
            </w:r>
          </w:p>
        </w:tc>
        <w:tc>
          <w:tcPr>
            <w:tcW w:w="1025" w:type="dxa"/>
            <w:noWrap w:val="0"/>
            <w:vAlign w:val="center"/>
          </w:tcPr>
          <w:p>
            <w:pPr>
              <w:widowControl/>
              <w:spacing w:line="380" w:lineRule="exact"/>
              <w:jc w:val="center"/>
              <w:rPr>
                <w:rFonts w:ascii="宋体" w:hAnsi="宋体" w:cs="宋体"/>
                <w:b/>
                <w:kern w:val="0"/>
                <w:sz w:val="24"/>
              </w:rPr>
            </w:pPr>
            <w:r>
              <w:rPr>
                <w:rFonts w:hint="eastAsia" w:ascii="宋体" w:hAnsi="宋体" w:cs="宋体"/>
                <w:b/>
                <w:kern w:val="0"/>
                <w:sz w:val="24"/>
              </w:rPr>
              <w:t>分项</w:t>
            </w:r>
          </w:p>
        </w:tc>
        <w:tc>
          <w:tcPr>
            <w:tcW w:w="6804" w:type="dxa"/>
            <w:noWrap w:val="0"/>
            <w:vAlign w:val="center"/>
          </w:tcPr>
          <w:p>
            <w:pPr>
              <w:widowControl/>
              <w:spacing w:line="380" w:lineRule="exact"/>
              <w:jc w:val="center"/>
              <w:rPr>
                <w:rFonts w:ascii="宋体" w:hAnsi="宋体" w:cs="宋体"/>
                <w:b/>
                <w:kern w:val="0"/>
                <w:sz w:val="24"/>
              </w:rPr>
            </w:pPr>
            <w:r>
              <w:rPr>
                <w:rFonts w:hint="eastAsia" w:ascii="宋体" w:hAnsi="宋体" w:cs="宋体"/>
                <w:b/>
                <w:kern w:val="0"/>
                <w:sz w:val="24"/>
              </w:rPr>
              <w:t>评价要点</w:t>
            </w:r>
          </w:p>
        </w:tc>
        <w:tc>
          <w:tcPr>
            <w:tcW w:w="775" w:type="dxa"/>
            <w:noWrap w:val="0"/>
            <w:vAlign w:val="center"/>
          </w:tcPr>
          <w:p>
            <w:pPr>
              <w:widowControl/>
              <w:spacing w:line="380" w:lineRule="exact"/>
              <w:jc w:val="center"/>
              <w:rPr>
                <w:rFonts w:ascii="宋体" w:hAnsi="宋体" w:cs="宋体"/>
                <w:b/>
                <w:kern w:val="0"/>
                <w:sz w:val="24"/>
              </w:rPr>
            </w:pPr>
            <w:r>
              <w:rPr>
                <w:rFonts w:hint="eastAsia" w:ascii="宋体" w:hAnsi="宋体" w:cs="宋体"/>
                <w:b/>
                <w:kern w:val="0"/>
                <w:sz w:val="24"/>
              </w:rPr>
              <w:t>分值权重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jc w:val="center"/>
        </w:trPr>
        <w:tc>
          <w:tcPr>
            <w:tcW w:w="1178" w:type="dxa"/>
            <w:vMerge w:val="restart"/>
            <w:noWrap w:val="0"/>
            <w:vAlign w:val="center"/>
          </w:tcPr>
          <w:p>
            <w:pPr>
              <w:widowControl/>
              <w:spacing w:line="380" w:lineRule="exact"/>
              <w:jc w:val="center"/>
              <w:rPr>
                <w:rFonts w:hint="eastAsia" w:ascii="宋体" w:hAnsi="宋体" w:cs="宋体"/>
                <w:b/>
                <w:kern w:val="0"/>
                <w:sz w:val="24"/>
              </w:rPr>
            </w:pPr>
            <w:r>
              <w:rPr>
                <w:rFonts w:hint="eastAsia" w:ascii="宋体" w:hAnsi="宋体" w:cs="宋体"/>
                <w:b/>
                <w:kern w:val="0"/>
                <w:sz w:val="24"/>
              </w:rPr>
              <w:t>服务</w:t>
            </w:r>
          </w:p>
          <w:p>
            <w:pPr>
              <w:widowControl/>
              <w:spacing w:line="380" w:lineRule="exact"/>
              <w:jc w:val="center"/>
              <w:rPr>
                <w:rFonts w:hint="eastAsia" w:ascii="宋体" w:hAnsi="宋体" w:cs="宋体"/>
                <w:b/>
                <w:kern w:val="0"/>
                <w:sz w:val="24"/>
              </w:rPr>
            </w:pPr>
            <w:r>
              <w:rPr>
                <w:rFonts w:hint="eastAsia" w:ascii="宋体" w:hAnsi="宋体" w:cs="宋体"/>
                <w:b/>
                <w:kern w:val="0"/>
                <w:sz w:val="24"/>
              </w:rPr>
              <w:t>部分</w:t>
            </w:r>
          </w:p>
          <w:p>
            <w:pPr>
              <w:widowControl/>
              <w:spacing w:line="380" w:lineRule="exact"/>
              <w:jc w:val="center"/>
              <w:rPr>
                <w:rFonts w:hint="eastAsia" w:ascii="宋体" w:hAnsi="宋体" w:cs="宋体"/>
                <w:b/>
                <w:kern w:val="0"/>
                <w:sz w:val="24"/>
              </w:rPr>
            </w:pPr>
            <w:r>
              <w:rPr>
                <w:rFonts w:hint="eastAsia" w:ascii="宋体" w:hAnsi="宋体" w:cs="宋体"/>
                <w:b/>
                <w:kern w:val="0"/>
                <w:sz w:val="24"/>
              </w:rPr>
              <w:t>55%</w:t>
            </w:r>
          </w:p>
          <w:p>
            <w:pPr>
              <w:widowControl/>
              <w:spacing w:line="380" w:lineRule="exact"/>
              <w:jc w:val="center"/>
              <w:rPr>
                <w:rFonts w:hint="eastAsia" w:ascii="宋体" w:hAnsi="宋体" w:cs="宋体"/>
                <w:b/>
                <w:kern w:val="0"/>
                <w:sz w:val="24"/>
              </w:rPr>
            </w:pPr>
          </w:p>
          <w:p>
            <w:pPr>
              <w:widowControl/>
              <w:spacing w:line="380" w:lineRule="exact"/>
              <w:jc w:val="center"/>
              <w:rPr>
                <w:rFonts w:hint="eastAsia" w:ascii="宋体" w:hAnsi="宋体" w:cs="宋体"/>
                <w:b/>
                <w:kern w:val="0"/>
                <w:sz w:val="24"/>
              </w:rPr>
            </w:pPr>
          </w:p>
        </w:tc>
        <w:tc>
          <w:tcPr>
            <w:tcW w:w="1025" w:type="dxa"/>
            <w:noWrap w:val="0"/>
            <w:vAlign w:val="center"/>
          </w:tcPr>
          <w:p>
            <w:pPr>
              <w:spacing w:line="380" w:lineRule="exact"/>
              <w:jc w:val="center"/>
              <w:rPr>
                <w:rFonts w:ascii="宋体" w:hAnsi="宋体" w:cs="宋体"/>
                <w:sz w:val="24"/>
              </w:rPr>
            </w:pPr>
            <w:r>
              <w:rPr>
                <w:rFonts w:hint="eastAsia" w:ascii="宋体" w:hAnsi="宋体" w:cs="宋体"/>
                <w:sz w:val="24"/>
              </w:rPr>
              <w:t>（一）项目实施团队</w:t>
            </w:r>
          </w:p>
        </w:tc>
        <w:tc>
          <w:tcPr>
            <w:tcW w:w="6804" w:type="dxa"/>
            <w:noWrap w:val="0"/>
            <w:vAlign w:val="center"/>
          </w:tcPr>
          <w:p>
            <w:pPr>
              <w:widowControl/>
              <w:spacing w:line="380" w:lineRule="exact"/>
              <w:ind w:firstLine="440"/>
              <w:jc w:val="left"/>
              <w:rPr>
                <w:rFonts w:ascii="宋体" w:hAnsi="宋体" w:cs="宋体"/>
                <w:kern w:val="0"/>
                <w:sz w:val="24"/>
              </w:rPr>
            </w:pPr>
            <w:r>
              <w:rPr>
                <w:rFonts w:hint="eastAsia" w:ascii="宋体" w:hAnsi="宋体" w:cs="宋体"/>
                <w:kern w:val="0"/>
                <w:sz w:val="24"/>
              </w:rPr>
              <w:t>根据律师事务所针对本项目投入项目实施团队工作机制、团队人员组成及人员经验等进行评审。</w:t>
            </w:r>
          </w:p>
          <w:p>
            <w:pPr>
              <w:widowControl/>
              <w:spacing w:line="380" w:lineRule="exact"/>
              <w:ind w:firstLine="440"/>
              <w:jc w:val="left"/>
              <w:rPr>
                <w:rFonts w:hint="eastAsia" w:ascii="宋体" w:hAnsi="宋体" w:cs="宋体"/>
                <w:kern w:val="0"/>
                <w:sz w:val="24"/>
              </w:rPr>
            </w:pPr>
            <w:r>
              <w:rPr>
                <w:rFonts w:hint="eastAsia" w:ascii="宋体" w:hAnsi="宋体" w:cs="宋体"/>
                <w:kern w:val="0"/>
                <w:sz w:val="24"/>
              </w:rPr>
              <w:t>1.制度保障。不同部门、不同地区间的律师能够有效合作，团队负责人可以在全所范围内调动律师资源，律师事务所内部分配机制、办案程序能够支持这种合理机制有效运行。（2分）</w:t>
            </w:r>
          </w:p>
          <w:p>
            <w:pPr>
              <w:widowControl/>
              <w:spacing w:line="380" w:lineRule="exact"/>
              <w:ind w:firstLine="440"/>
              <w:jc w:val="left"/>
              <w:rPr>
                <w:rFonts w:hint="eastAsia" w:ascii="宋体" w:hAnsi="宋体" w:cs="宋体"/>
                <w:kern w:val="0"/>
                <w:sz w:val="24"/>
              </w:rPr>
            </w:pPr>
            <w:r>
              <w:rPr>
                <w:rFonts w:hint="eastAsia" w:ascii="宋体" w:hAnsi="宋体" w:cs="宋体"/>
                <w:kern w:val="0"/>
                <w:sz w:val="24"/>
              </w:rPr>
              <w:t>2.团队人员组成。为集团公司服务的律师团队构成合理，服务团队相对稳定，人员不足时能够及时通报、补充配齐。（1分）</w:t>
            </w:r>
          </w:p>
          <w:p>
            <w:pPr>
              <w:widowControl/>
              <w:spacing w:line="380" w:lineRule="exact"/>
              <w:ind w:firstLine="440"/>
              <w:jc w:val="left"/>
              <w:rPr>
                <w:rFonts w:ascii="宋体" w:hAnsi="宋体" w:cs="宋体"/>
                <w:kern w:val="0"/>
                <w:sz w:val="24"/>
              </w:rPr>
            </w:pPr>
            <w:r>
              <w:rPr>
                <w:rFonts w:hint="eastAsia" w:ascii="宋体" w:hAnsi="宋体" w:cs="宋体"/>
                <w:kern w:val="0"/>
                <w:sz w:val="24"/>
              </w:rPr>
              <w:t>3.团队人员学历。成员中有法学硕士学历的，得0.5分/人，法学博士学历的，得1分/人。此项最高得2分。</w:t>
            </w:r>
          </w:p>
          <w:p>
            <w:pPr>
              <w:widowControl/>
              <w:spacing w:line="380" w:lineRule="exact"/>
              <w:ind w:firstLine="440"/>
              <w:jc w:val="left"/>
              <w:rPr>
                <w:rFonts w:hint="eastAsia" w:ascii="宋体" w:hAnsi="宋体" w:cs="宋体"/>
                <w:kern w:val="0"/>
                <w:sz w:val="24"/>
              </w:rPr>
            </w:pPr>
            <w:r>
              <w:rPr>
                <w:rFonts w:hint="eastAsia" w:ascii="宋体" w:hAnsi="宋体" w:cs="宋体"/>
                <w:kern w:val="0"/>
                <w:sz w:val="24"/>
              </w:rPr>
              <w:t>4.执业年限。团队负责人执业5-10年得1分，满10年以上的，得2分。</w:t>
            </w:r>
          </w:p>
          <w:p>
            <w:pPr>
              <w:widowControl/>
              <w:spacing w:line="380" w:lineRule="exact"/>
              <w:ind w:firstLine="440"/>
              <w:jc w:val="left"/>
              <w:rPr>
                <w:rFonts w:ascii="宋体" w:hAnsi="宋体" w:cs="宋体"/>
                <w:kern w:val="0"/>
                <w:sz w:val="24"/>
              </w:rPr>
            </w:pPr>
            <w:r>
              <w:rPr>
                <w:rFonts w:hint="eastAsia" w:ascii="宋体" w:hAnsi="宋体" w:cs="宋体"/>
                <w:kern w:val="0"/>
                <w:sz w:val="24"/>
              </w:rPr>
              <w:t>5.获奖情况。获市级优秀律师奖励的，得1分。获得自治区级及以上优秀律师奖励的，得2分。此项最高得3分。</w:t>
            </w:r>
          </w:p>
        </w:tc>
        <w:tc>
          <w:tcPr>
            <w:tcW w:w="775" w:type="dxa"/>
            <w:noWrap w:val="0"/>
            <w:vAlign w:val="center"/>
          </w:tcPr>
          <w:p>
            <w:pPr>
              <w:spacing w:line="380" w:lineRule="exact"/>
              <w:jc w:val="center"/>
              <w:rPr>
                <w:rFonts w:ascii="宋体" w:hAnsi="宋体" w:cs="宋体"/>
                <w:sz w:val="24"/>
              </w:rPr>
            </w:pPr>
            <w:r>
              <w:rPr>
                <w:rFonts w:hint="eastAsia" w:ascii="宋体" w:hAnsi="宋体" w:cs="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178" w:type="dxa"/>
            <w:vMerge w:val="continue"/>
            <w:noWrap w:val="0"/>
            <w:vAlign w:val="top"/>
          </w:tcPr>
          <w:p>
            <w:pPr>
              <w:spacing w:line="380" w:lineRule="exact"/>
              <w:jc w:val="center"/>
              <w:rPr>
                <w:rFonts w:hint="eastAsia" w:ascii="宋体" w:hAnsi="宋体" w:cs="宋体"/>
                <w:sz w:val="24"/>
              </w:rPr>
            </w:pPr>
          </w:p>
        </w:tc>
        <w:tc>
          <w:tcPr>
            <w:tcW w:w="1025" w:type="dxa"/>
            <w:noWrap w:val="0"/>
            <w:vAlign w:val="center"/>
          </w:tcPr>
          <w:p>
            <w:pPr>
              <w:spacing w:line="380" w:lineRule="exact"/>
              <w:jc w:val="center"/>
              <w:rPr>
                <w:rFonts w:ascii="宋体" w:hAnsi="宋体" w:cs="宋体"/>
                <w:sz w:val="24"/>
              </w:rPr>
            </w:pPr>
            <w:r>
              <w:rPr>
                <w:rFonts w:hint="eastAsia" w:ascii="宋体" w:hAnsi="宋体" w:cs="宋体"/>
                <w:sz w:val="24"/>
              </w:rPr>
              <w:t>（二）服务 方案</w:t>
            </w:r>
          </w:p>
        </w:tc>
        <w:tc>
          <w:tcPr>
            <w:tcW w:w="6804" w:type="dxa"/>
            <w:noWrap w:val="0"/>
            <w:vAlign w:val="center"/>
          </w:tcPr>
          <w:p>
            <w:pPr>
              <w:widowControl/>
              <w:spacing w:line="380" w:lineRule="exact"/>
              <w:ind w:firstLine="480" w:firstLineChars="200"/>
              <w:jc w:val="left"/>
              <w:rPr>
                <w:rFonts w:ascii="宋体" w:hAnsi="宋体" w:cs="宋体"/>
                <w:kern w:val="0"/>
                <w:sz w:val="24"/>
              </w:rPr>
            </w:pPr>
            <w:r>
              <w:rPr>
                <w:rFonts w:hint="eastAsia" w:ascii="宋体" w:hAnsi="宋体" w:cs="宋体"/>
                <w:kern w:val="0"/>
                <w:sz w:val="24"/>
              </w:rPr>
              <w:t>1.服务方案，15分</w:t>
            </w:r>
          </w:p>
          <w:p>
            <w:pPr>
              <w:widowControl/>
              <w:spacing w:line="380" w:lineRule="exact"/>
              <w:ind w:firstLine="480" w:firstLineChars="200"/>
              <w:jc w:val="left"/>
              <w:rPr>
                <w:rFonts w:ascii="宋体" w:hAnsi="宋体" w:cs="宋体"/>
                <w:kern w:val="0"/>
                <w:sz w:val="24"/>
              </w:rPr>
            </w:pPr>
            <w:r>
              <w:rPr>
                <w:rFonts w:hint="eastAsia" w:ascii="宋体" w:hAnsi="宋体" w:cs="宋体"/>
                <w:kern w:val="0"/>
                <w:sz w:val="24"/>
              </w:rPr>
              <w:t>根据律师事务所提出对针对本项目的服务方案进行评审</w:t>
            </w:r>
            <w:r>
              <w:rPr>
                <w:rFonts w:hint="eastAsia" w:ascii="宋体" w:hAnsi="宋体"/>
                <w:sz w:val="24"/>
              </w:rPr>
              <w:t>。</w:t>
            </w:r>
            <w:r>
              <w:rPr>
                <w:rFonts w:hint="eastAsia" w:ascii="宋体" w:hAnsi="宋体" w:cs="宋体"/>
                <w:kern w:val="0"/>
                <w:sz w:val="24"/>
              </w:rPr>
              <w:t>考虑其提出的整体服务方案完整性、有效性，能否很好满足集团公司业务特点，对集团公司业务能够及时响应，紧急情况下可随时提供迅捷有效的服务，确保满足集团公司法律服务要求。</w:t>
            </w:r>
          </w:p>
          <w:p>
            <w:pPr>
              <w:widowControl/>
              <w:spacing w:line="380" w:lineRule="exact"/>
              <w:ind w:firstLine="480" w:firstLineChars="200"/>
              <w:jc w:val="left"/>
              <w:rPr>
                <w:rFonts w:ascii="宋体" w:hAnsi="宋体" w:cs="宋体"/>
                <w:kern w:val="0"/>
                <w:sz w:val="24"/>
              </w:rPr>
            </w:pPr>
            <w:r>
              <w:rPr>
                <w:rFonts w:hint="eastAsia" w:ascii="宋体" w:hAnsi="宋体" w:cs="宋体"/>
                <w:kern w:val="0"/>
                <w:sz w:val="24"/>
              </w:rPr>
              <w:t>服务方案完整、全面，针对性强，能较好满足项目服务要求的，计12-15分；方案完整、可执行，有一定针对性，能满足项目服务要求的，计8-11分；方案完整，针对性一般，基本满足项目要求的，计5-7分；方案一般，内容存在瑕疵，针对性较差的，计2-4分；方案较差，内容有缺陷，难以满足项目要求的，计0-1分。</w:t>
            </w:r>
          </w:p>
          <w:p>
            <w:pPr>
              <w:widowControl/>
              <w:spacing w:line="380" w:lineRule="exact"/>
              <w:ind w:firstLine="489" w:firstLineChars="204"/>
              <w:jc w:val="left"/>
              <w:rPr>
                <w:rFonts w:ascii="宋体" w:hAnsi="宋体" w:cs="宋体"/>
                <w:kern w:val="0"/>
                <w:sz w:val="24"/>
              </w:rPr>
            </w:pPr>
            <w:r>
              <w:rPr>
                <w:rFonts w:hint="eastAsia" w:ascii="宋体" w:hAnsi="宋体" w:cs="宋体"/>
                <w:kern w:val="0"/>
                <w:sz w:val="24"/>
              </w:rPr>
              <w:t>2.服务能力，10分</w:t>
            </w:r>
          </w:p>
          <w:p>
            <w:pPr>
              <w:widowControl/>
              <w:spacing w:line="380" w:lineRule="exact"/>
              <w:ind w:firstLine="480" w:firstLineChars="200"/>
              <w:jc w:val="left"/>
              <w:rPr>
                <w:rFonts w:ascii="宋体" w:hAnsi="宋体"/>
                <w:bCs/>
                <w:sz w:val="24"/>
                <w:lang w:val="en"/>
              </w:rPr>
            </w:pPr>
            <w:r>
              <w:rPr>
                <w:rFonts w:hint="eastAsia" w:ascii="宋体" w:hAnsi="宋体" w:cs="宋体"/>
                <w:kern w:val="0"/>
                <w:sz w:val="24"/>
              </w:rPr>
              <w:t>根据律师事务所对针对本项目的服务能力进行</w:t>
            </w:r>
            <w:r>
              <w:rPr>
                <w:rFonts w:hint="eastAsia" w:ascii="宋体" w:hAnsi="宋体"/>
                <w:sz w:val="24"/>
              </w:rPr>
              <w:t>评审。</w:t>
            </w:r>
            <w:r>
              <w:rPr>
                <w:rFonts w:hint="eastAsia" w:ascii="宋体" w:hAnsi="宋体"/>
                <w:bCs/>
                <w:sz w:val="24"/>
              </w:rPr>
              <w:t>考虑</w:t>
            </w:r>
            <w:r>
              <w:rPr>
                <w:rFonts w:hint="eastAsia" w:ascii="宋体" w:hAnsi="宋体" w:cs="宋体"/>
                <w:kern w:val="0"/>
                <w:sz w:val="24"/>
              </w:rPr>
              <w:t>律师事务所</w:t>
            </w:r>
            <w:r>
              <w:rPr>
                <w:rFonts w:hint="eastAsia" w:ascii="宋体" w:hAnsi="宋体"/>
                <w:bCs/>
                <w:sz w:val="24"/>
              </w:rPr>
              <w:t>人员团队</w:t>
            </w:r>
            <w:r>
              <w:rPr>
                <w:rFonts w:hint="eastAsia" w:ascii="宋体" w:hAnsi="宋体"/>
                <w:bCs/>
                <w:sz w:val="24"/>
                <w:lang w:val="en"/>
              </w:rPr>
              <w:t>是否有国有资产平台公司服务团队及合伙人，</w:t>
            </w:r>
            <w:r>
              <w:rPr>
                <w:rFonts w:hint="eastAsia" w:ascii="宋体" w:hAnsi="宋体"/>
                <w:bCs/>
                <w:sz w:val="24"/>
                <w:u w:val="single"/>
                <w:lang w:val="en"/>
              </w:rPr>
              <w:t>近</w:t>
            </w:r>
            <w:r>
              <w:rPr>
                <w:rFonts w:hint="eastAsia" w:ascii="宋体" w:hAnsi="宋体"/>
                <w:bCs/>
                <w:sz w:val="24"/>
                <w:u w:val="single"/>
              </w:rPr>
              <w:t>3年</w:t>
            </w:r>
            <w:r>
              <w:rPr>
                <w:rFonts w:hint="eastAsia" w:ascii="宋体" w:hAnsi="宋体"/>
                <w:bCs/>
                <w:sz w:val="24"/>
                <w:u w:val="single"/>
                <w:lang w:val="en"/>
              </w:rPr>
              <w:t>为南宁市或广西壮族自治区国有平台公司</w:t>
            </w:r>
            <w:r>
              <w:rPr>
                <w:rFonts w:hint="eastAsia" w:ascii="宋体" w:hAnsi="宋体"/>
                <w:bCs/>
                <w:sz w:val="24"/>
                <w:lang w:val="en"/>
              </w:rPr>
              <w:t>提供过有影响、有效果的法律服务，业绩突出，在工程建设、生产经营、融资、诉讼仲裁、劳动争议、知识产权，企业破产、清算、转让等领域具有某项或多项专长，有较强的研究能力，能够定期跟踪、分析行业法律风险与环境。</w:t>
            </w:r>
          </w:p>
          <w:p>
            <w:pPr>
              <w:widowControl/>
              <w:spacing w:line="380" w:lineRule="exact"/>
              <w:ind w:firstLine="480" w:firstLineChars="200"/>
              <w:jc w:val="left"/>
              <w:rPr>
                <w:rFonts w:ascii="宋体" w:hAnsi="宋体" w:cs="宋体"/>
                <w:kern w:val="0"/>
                <w:sz w:val="24"/>
              </w:rPr>
            </w:pPr>
            <w:r>
              <w:rPr>
                <w:rFonts w:hint="eastAsia" w:ascii="宋体" w:hAnsi="宋体" w:cs="宋体"/>
                <w:kern w:val="0"/>
                <w:sz w:val="24"/>
              </w:rPr>
              <w:t>律师事务所机构及人员配置合理，服务能力相对突出的，最高计10分；服务能力较好的，最高计8分；服务能力一般的，最高计6分；服务能力较差的，最高计4分；服务能力难以满足要求的，在0-2之间计分。</w:t>
            </w:r>
          </w:p>
        </w:tc>
        <w:tc>
          <w:tcPr>
            <w:tcW w:w="775" w:type="dxa"/>
            <w:noWrap w:val="0"/>
            <w:vAlign w:val="center"/>
          </w:tcPr>
          <w:p>
            <w:pPr>
              <w:spacing w:line="380" w:lineRule="exact"/>
              <w:jc w:val="center"/>
              <w:rPr>
                <w:rFonts w:ascii="宋体" w:hAnsi="宋体" w:cs="宋体"/>
                <w:sz w:val="24"/>
              </w:rPr>
            </w:pPr>
            <w:r>
              <w:rPr>
                <w:rFonts w:hint="eastAsia" w:ascii="宋体" w:hAnsi="宋体" w:cs="宋体"/>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78" w:type="dxa"/>
            <w:tcBorders>
              <w:top w:val="nil"/>
            </w:tcBorders>
            <w:noWrap w:val="0"/>
            <w:vAlign w:val="center"/>
          </w:tcPr>
          <w:p>
            <w:pPr>
              <w:spacing w:line="380" w:lineRule="exact"/>
              <w:jc w:val="center"/>
              <w:rPr>
                <w:rFonts w:hint="eastAsia" w:ascii="宋体" w:hAnsi="宋体" w:cs="宋体"/>
                <w:sz w:val="24"/>
              </w:rPr>
            </w:pPr>
          </w:p>
        </w:tc>
        <w:tc>
          <w:tcPr>
            <w:tcW w:w="1025" w:type="dxa"/>
            <w:tcBorders>
              <w:top w:val="nil"/>
            </w:tcBorders>
            <w:noWrap w:val="0"/>
            <w:vAlign w:val="center"/>
          </w:tcPr>
          <w:p>
            <w:pPr>
              <w:spacing w:line="380" w:lineRule="exact"/>
              <w:jc w:val="center"/>
              <w:rPr>
                <w:rFonts w:ascii="宋体" w:hAnsi="宋体" w:cs="宋体"/>
                <w:sz w:val="24"/>
              </w:rPr>
            </w:pPr>
            <w:r>
              <w:rPr>
                <w:rFonts w:hint="eastAsia" w:ascii="宋体" w:hAnsi="宋体" w:cs="宋体"/>
                <w:sz w:val="24"/>
              </w:rPr>
              <w:t>（三）管理 方案</w:t>
            </w:r>
          </w:p>
        </w:tc>
        <w:tc>
          <w:tcPr>
            <w:tcW w:w="6804" w:type="dxa"/>
            <w:noWrap w:val="0"/>
            <w:vAlign w:val="center"/>
          </w:tcPr>
          <w:p>
            <w:pPr>
              <w:widowControl/>
              <w:spacing w:line="380" w:lineRule="exact"/>
              <w:ind w:firstLine="489" w:firstLineChars="204"/>
              <w:jc w:val="left"/>
              <w:rPr>
                <w:rFonts w:ascii="宋体" w:hAnsi="宋体" w:cs="宋体"/>
                <w:kern w:val="0"/>
                <w:sz w:val="24"/>
              </w:rPr>
            </w:pPr>
            <w:r>
              <w:rPr>
                <w:rFonts w:hint="eastAsia" w:ascii="宋体" w:hAnsi="宋体" w:cs="宋体"/>
                <w:kern w:val="0"/>
                <w:sz w:val="24"/>
              </w:rPr>
              <w:t>1.质量要求，10分</w:t>
            </w:r>
          </w:p>
          <w:p>
            <w:pPr>
              <w:spacing w:line="380" w:lineRule="exact"/>
              <w:ind w:firstLine="480" w:firstLineChars="200"/>
              <w:rPr>
                <w:rFonts w:ascii="宋体" w:hAnsi="宋体"/>
                <w:sz w:val="24"/>
              </w:rPr>
            </w:pPr>
            <w:r>
              <w:rPr>
                <w:rFonts w:hint="eastAsia" w:ascii="宋体" w:hAnsi="宋体" w:cs="宋体"/>
                <w:kern w:val="0"/>
                <w:sz w:val="24"/>
              </w:rPr>
              <w:t>根据律师事务所对针对本项目的质量管理方案进行评审</w:t>
            </w:r>
            <w:r>
              <w:rPr>
                <w:rFonts w:hint="eastAsia" w:ascii="宋体" w:hAnsi="宋体"/>
                <w:sz w:val="24"/>
              </w:rPr>
              <w:t>。考虑服务响应方式及时间、工作成果的交付、利益冲突回避、保密要求、律师变动情况反馈、质量评价管理等，以及建立律所内部管理及利益冲突检索机制，</w:t>
            </w:r>
            <w:r>
              <w:rPr>
                <w:rFonts w:hint="eastAsia" w:ascii="宋体" w:hAnsi="宋体"/>
                <w:bCs/>
                <w:sz w:val="24"/>
                <w:lang w:val="en"/>
              </w:rPr>
              <w:t>执业过程中无违法违纪行为，无不良记录，业界声誉良好</w:t>
            </w:r>
            <w:r>
              <w:rPr>
                <w:rFonts w:hint="eastAsia" w:ascii="宋体" w:hAnsi="宋体"/>
                <w:sz w:val="24"/>
              </w:rPr>
              <w:t>。</w:t>
            </w:r>
          </w:p>
          <w:p>
            <w:pPr>
              <w:spacing w:line="380" w:lineRule="exact"/>
              <w:ind w:firstLine="480" w:firstLineChars="200"/>
              <w:rPr>
                <w:rFonts w:ascii="宋体" w:hAnsi="宋体"/>
                <w:sz w:val="24"/>
              </w:rPr>
            </w:pPr>
            <w:r>
              <w:rPr>
                <w:rFonts w:hint="eastAsia" w:ascii="宋体" w:hAnsi="宋体" w:cs="宋体"/>
                <w:kern w:val="0"/>
                <w:sz w:val="24"/>
              </w:rPr>
              <w:t>律师事务所</w:t>
            </w:r>
            <w:r>
              <w:rPr>
                <w:rFonts w:hint="eastAsia" w:ascii="宋体" w:hAnsi="宋体"/>
                <w:sz w:val="24"/>
              </w:rPr>
              <w:t>提出的管理方案完整、有效，可操作性强，服务质量要求突出的，</w:t>
            </w:r>
            <w:r>
              <w:rPr>
                <w:rFonts w:hint="eastAsia" w:ascii="宋体" w:hAnsi="宋体" w:cs="宋体"/>
                <w:kern w:val="0"/>
                <w:sz w:val="24"/>
              </w:rPr>
              <w:t>最高计10分；方案完整、可执行，质量要求较好的，最高计8分；方案可行，基本满足质量要求的，最高计6分；方案一般、内容存在瑕疵，操作性较差的，最高计3分；方案较差、内容有缺陷，难以满足质量要求的，在0-2之间计分。</w:t>
            </w:r>
          </w:p>
          <w:p>
            <w:pPr>
              <w:spacing w:line="380" w:lineRule="exact"/>
              <w:ind w:firstLine="489" w:firstLineChars="204"/>
              <w:rPr>
                <w:rFonts w:ascii="宋体" w:hAnsi="宋体"/>
                <w:sz w:val="24"/>
              </w:rPr>
            </w:pPr>
            <w:r>
              <w:rPr>
                <w:rFonts w:hint="eastAsia" w:ascii="宋体" w:hAnsi="宋体"/>
                <w:sz w:val="24"/>
              </w:rPr>
              <w:t>2.管理措施和建议，10分</w:t>
            </w:r>
          </w:p>
          <w:p>
            <w:pPr>
              <w:spacing w:line="380" w:lineRule="exact"/>
              <w:ind w:firstLine="480" w:firstLineChars="200"/>
              <w:rPr>
                <w:rFonts w:ascii="宋体" w:hAnsi="宋体"/>
                <w:sz w:val="24"/>
              </w:rPr>
            </w:pPr>
            <w:r>
              <w:rPr>
                <w:rFonts w:hint="eastAsia" w:ascii="宋体" w:hAnsi="宋体" w:cs="宋体"/>
                <w:kern w:val="0"/>
                <w:sz w:val="24"/>
              </w:rPr>
              <w:t>根据律师事务所针对本项目的管理措施及建议进行</w:t>
            </w:r>
            <w:r>
              <w:rPr>
                <w:rFonts w:hint="eastAsia" w:ascii="宋体" w:hAnsi="宋体"/>
                <w:sz w:val="24"/>
              </w:rPr>
              <w:t>评审。</w:t>
            </w:r>
            <w:r>
              <w:rPr>
                <w:rFonts w:hint="eastAsia" w:ascii="宋体" w:hAnsi="宋体"/>
                <w:bCs/>
                <w:sz w:val="24"/>
              </w:rPr>
              <w:t>投标人针对本项目实施所提交的需求方案之外的管理建议和技术建议，每条评标委员会认为可行的建议计2分，最多计</w:t>
            </w:r>
            <w:r>
              <w:rPr>
                <w:rFonts w:ascii="宋体" w:hAnsi="宋体"/>
                <w:bCs/>
                <w:sz w:val="24"/>
              </w:rPr>
              <w:t>10</w:t>
            </w:r>
            <w:r>
              <w:rPr>
                <w:rFonts w:hint="eastAsia" w:ascii="宋体" w:hAnsi="宋体"/>
                <w:bCs/>
                <w:sz w:val="24"/>
              </w:rPr>
              <w:t>分。</w:t>
            </w:r>
          </w:p>
        </w:tc>
        <w:tc>
          <w:tcPr>
            <w:tcW w:w="775" w:type="dxa"/>
            <w:noWrap w:val="0"/>
            <w:vAlign w:val="center"/>
          </w:tcPr>
          <w:p>
            <w:pPr>
              <w:spacing w:line="380" w:lineRule="exact"/>
              <w:jc w:val="center"/>
              <w:rPr>
                <w:rFonts w:ascii="宋体" w:hAnsi="宋体" w:cs="宋体"/>
                <w:sz w:val="24"/>
              </w:rPr>
            </w:pPr>
            <w:r>
              <w:rPr>
                <w:rFonts w:hint="eastAsia" w:ascii="宋体" w:hAnsi="宋体" w:cs="宋体"/>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jc w:val="center"/>
        </w:trPr>
        <w:tc>
          <w:tcPr>
            <w:tcW w:w="1178" w:type="dxa"/>
            <w:vMerge w:val="restart"/>
            <w:shd w:val="clear" w:color="auto" w:fill="auto"/>
            <w:noWrap w:val="0"/>
            <w:vAlign w:val="top"/>
          </w:tcPr>
          <w:p>
            <w:pPr>
              <w:widowControl/>
              <w:spacing w:line="380" w:lineRule="exact"/>
              <w:jc w:val="center"/>
              <w:rPr>
                <w:rFonts w:hint="eastAsia" w:ascii="宋体" w:hAnsi="宋体" w:cs="宋体"/>
                <w:b/>
                <w:kern w:val="0"/>
                <w:sz w:val="24"/>
              </w:rPr>
            </w:pPr>
          </w:p>
          <w:p>
            <w:pPr>
              <w:widowControl/>
              <w:spacing w:line="380" w:lineRule="exact"/>
              <w:jc w:val="center"/>
              <w:rPr>
                <w:rFonts w:hint="eastAsia" w:ascii="宋体" w:hAnsi="宋体" w:cs="宋体"/>
                <w:b/>
                <w:kern w:val="0"/>
                <w:sz w:val="24"/>
              </w:rPr>
            </w:pPr>
          </w:p>
          <w:p>
            <w:pPr>
              <w:widowControl/>
              <w:spacing w:line="380" w:lineRule="exact"/>
              <w:jc w:val="center"/>
              <w:rPr>
                <w:rFonts w:hint="eastAsia" w:ascii="宋体" w:hAnsi="宋体" w:cs="宋体"/>
                <w:b/>
                <w:kern w:val="0"/>
                <w:sz w:val="24"/>
              </w:rPr>
            </w:pPr>
          </w:p>
          <w:p>
            <w:pPr>
              <w:widowControl/>
              <w:spacing w:line="380" w:lineRule="exact"/>
              <w:jc w:val="center"/>
              <w:rPr>
                <w:rFonts w:hint="eastAsia" w:ascii="宋体" w:hAnsi="宋体" w:cs="宋体"/>
                <w:b/>
                <w:kern w:val="0"/>
                <w:sz w:val="24"/>
              </w:rPr>
            </w:pPr>
          </w:p>
          <w:p>
            <w:pPr>
              <w:widowControl/>
              <w:spacing w:line="380" w:lineRule="exact"/>
              <w:jc w:val="center"/>
              <w:rPr>
                <w:rFonts w:hint="eastAsia" w:ascii="宋体" w:hAnsi="宋体" w:cs="宋体"/>
                <w:b/>
                <w:kern w:val="0"/>
                <w:sz w:val="24"/>
              </w:rPr>
            </w:pPr>
          </w:p>
          <w:p>
            <w:pPr>
              <w:widowControl/>
              <w:spacing w:line="380" w:lineRule="exact"/>
              <w:jc w:val="center"/>
              <w:rPr>
                <w:rFonts w:hint="eastAsia" w:ascii="宋体" w:hAnsi="宋体" w:cs="宋体"/>
                <w:b/>
                <w:kern w:val="0"/>
                <w:sz w:val="24"/>
              </w:rPr>
            </w:pPr>
          </w:p>
          <w:p>
            <w:pPr>
              <w:widowControl/>
              <w:spacing w:line="380" w:lineRule="exact"/>
              <w:jc w:val="center"/>
              <w:rPr>
                <w:rFonts w:hint="eastAsia" w:ascii="宋体" w:hAnsi="宋体" w:cs="宋体"/>
                <w:b/>
                <w:kern w:val="0"/>
                <w:sz w:val="24"/>
              </w:rPr>
            </w:pPr>
          </w:p>
          <w:p>
            <w:pPr>
              <w:widowControl/>
              <w:spacing w:line="380" w:lineRule="exact"/>
              <w:jc w:val="center"/>
              <w:rPr>
                <w:rFonts w:hint="eastAsia" w:ascii="宋体" w:hAnsi="宋体" w:cs="宋体"/>
                <w:b/>
                <w:kern w:val="0"/>
                <w:sz w:val="24"/>
              </w:rPr>
            </w:pPr>
            <w:r>
              <w:rPr>
                <w:rFonts w:hint="eastAsia" w:ascii="宋体" w:hAnsi="宋体" w:cs="宋体"/>
                <w:b/>
                <w:kern w:val="0"/>
                <w:sz w:val="24"/>
              </w:rPr>
              <w:t>商务</w:t>
            </w:r>
          </w:p>
          <w:p>
            <w:pPr>
              <w:widowControl/>
              <w:spacing w:line="380" w:lineRule="exact"/>
              <w:jc w:val="center"/>
              <w:rPr>
                <w:rFonts w:hint="eastAsia" w:ascii="宋体" w:hAnsi="宋体" w:cs="宋体"/>
                <w:b/>
                <w:kern w:val="0"/>
                <w:sz w:val="24"/>
              </w:rPr>
            </w:pPr>
            <w:r>
              <w:rPr>
                <w:rFonts w:hint="eastAsia" w:ascii="宋体" w:hAnsi="宋体" w:cs="宋体"/>
                <w:b/>
                <w:kern w:val="0"/>
                <w:sz w:val="24"/>
              </w:rPr>
              <w:t>部分</w:t>
            </w:r>
          </w:p>
          <w:p>
            <w:pPr>
              <w:widowControl/>
              <w:spacing w:line="380" w:lineRule="exact"/>
              <w:jc w:val="center"/>
              <w:rPr>
                <w:rFonts w:ascii="宋体" w:hAnsi="宋体" w:cs="宋体"/>
                <w:b/>
                <w:kern w:val="0"/>
                <w:sz w:val="24"/>
              </w:rPr>
            </w:pPr>
            <w:r>
              <w:rPr>
                <w:rFonts w:hint="eastAsia" w:ascii="宋体" w:hAnsi="宋体" w:cs="宋体"/>
                <w:b/>
                <w:kern w:val="0"/>
                <w:sz w:val="24"/>
              </w:rPr>
              <w:t>25%</w:t>
            </w:r>
          </w:p>
        </w:tc>
        <w:tc>
          <w:tcPr>
            <w:tcW w:w="1025" w:type="dxa"/>
            <w:shd w:val="clear" w:color="auto" w:fill="auto"/>
            <w:noWrap w:val="0"/>
            <w:vAlign w:val="center"/>
          </w:tcPr>
          <w:p>
            <w:pPr>
              <w:widowControl/>
              <w:spacing w:line="380" w:lineRule="exact"/>
              <w:jc w:val="center"/>
              <w:rPr>
                <w:rFonts w:ascii="宋体" w:hAnsi="宋体" w:cs="宋体"/>
                <w:sz w:val="24"/>
              </w:rPr>
            </w:pPr>
            <w:r>
              <w:rPr>
                <w:rFonts w:hint="eastAsia" w:ascii="宋体" w:hAnsi="宋体" w:cs="宋体"/>
                <w:sz w:val="24"/>
              </w:rPr>
              <w:t>综合 实力</w:t>
            </w:r>
          </w:p>
        </w:tc>
        <w:tc>
          <w:tcPr>
            <w:tcW w:w="6804" w:type="dxa"/>
            <w:shd w:val="clear" w:color="000000" w:fill="FFFFFF"/>
            <w:noWrap w:val="0"/>
            <w:vAlign w:val="center"/>
          </w:tcPr>
          <w:p>
            <w:pPr>
              <w:widowControl/>
              <w:spacing w:line="380" w:lineRule="exact"/>
              <w:ind w:firstLine="440"/>
              <w:jc w:val="left"/>
              <w:rPr>
                <w:rFonts w:ascii="宋体" w:hAnsi="宋体" w:cs="宋体"/>
                <w:kern w:val="0"/>
                <w:sz w:val="24"/>
              </w:rPr>
            </w:pPr>
            <w:r>
              <w:rPr>
                <w:rFonts w:hint="eastAsia" w:ascii="宋体" w:hAnsi="宋体" w:cs="宋体"/>
                <w:kern w:val="0"/>
                <w:sz w:val="24"/>
              </w:rPr>
              <w:t>根据律师事务所的综合实力进行评审，考虑律师事务所成立年限、负责人资质履历等情况。</w:t>
            </w:r>
          </w:p>
          <w:p>
            <w:pPr>
              <w:widowControl/>
              <w:spacing w:line="380" w:lineRule="exact"/>
              <w:ind w:firstLine="440"/>
              <w:jc w:val="left"/>
              <w:rPr>
                <w:rFonts w:ascii="宋体" w:hAnsi="宋体" w:cs="宋体"/>
                <w:kern w:val="0"/>
                <w:sz w:val="24"/>
              </w:rPr>
            </w:pPr>
            <w:r>
              <w:rPr>
                <w:rFonts w:hint="eastAsia" w:ascii="宋体" w:hAnsi="宋体" w:cs="宋体"/>
                <w:kern w:val="0"/>
                <w:sz w:val="24"/>
              </w:rPr>
              <w:t>1.律师事务所（竞投本项目的“分所”）成立</w:t>
            </w:r>
            <w:r>
              <w:rPr>
                <w:rFonts w:hint="eastAsia" w:ascii="宋体" w:hAnsi="宋体" w:cs="宋体"/>
                <w:kern w:val="0"/>
                <w:sz w:val="24"/>
                <w:u w:val="single"/>
              </w:rPr>
              <w:t>10</w:t>
            </w:r>
            <w:r>
              <w:rPr>
                <w:rFonts w:hint="eastAsia" w:ascii="宋体" w:hAnsi="宋体" w:cs="宋体"/>
                <w:kern w:val="0"/>
                <w:sz w:val="24"/>
              </w:rPr>
              <w:t>年及以上的，计3分；成立</w:t>
            </w:r>
            <w:r>
              <w:rPr>
                <w:rFonts w:hint="eastAsia" w:ascii="宋体" w:hAnsi="宋体" w:cs="宋体"/>
                <w:kern w:val="0"/>
                <w:sz w:val="24"/>
                <w:u w:val="single"/>
              </w:rPr>
              <w:t>5</w:t>
            </w:r>
            <w:r>
              <w:rPr>
                <w:rFonts w:hint="eastAsia" w:ascii="宋体" w:hAnsi="宋体" w:cs="宋体"/>
                <w:kern w:val="0"/>
                <w:sz w:val="24"/>
              </w:rPr>
              <w:t>年及以上的，计2分；成立</w:t>
            </w:r>
            <w:r>
              <w:rPr>
                <w:rFonts w:hint="eastAsia" w:ascii="宋体" w:hAnsi="宋体" w:cs="宋体"/>
                <w:kern w:val="0"/>
                <w:sz w:val="24"/>
                <w:u w:val="single"/>
              </w:rPr>
              <w:t>5</w:t>
            </w:r>
            <w:r>
              <w:rPr>
                <w:rFonts w:hint="eastAsia" w:ascii="宋体" w:hAnsi="宋体" w:cs="宋体"/>
                <w:kern w:val="0"/>
                <w:sz w:val="24"/>
              </w:rPr>
              <w:t>年以下的，计1分。</w:t>
            </w:r>
          </w:p>
          <w:p>
            <w:pPr>
              <w:widowControl/>
              <w:spacing w:line="380" w:lineRule="exact"/>
              <w:ind w:firstLine="440"/>
              <w:jc w:val="left"/>
              <w:rPr>
                <w:rFonts w:ascii="宋体" w:hAnsi="宋体"/>
                <w:sz w:val="24"/>
              </w:rPr>
            </w:pPr>
            <w:r>
              <w:rPr>
                <w:rFonts w:hint="eastAsia" w:ascii="宋体" w:hAnsi="宋体" w:cs="宋体"/>
                <w:kern w:val="0"/>
                <w:sz w:val="24"/>
              </w:rPr>
              <w:t>2.律师事务所律师在各级律协或律协专业委员会、中国国际贸易仲裁委员会担任职务的，计2分，否则计0分。（需提供相关证明材料）</w:t>
            </w:r>
          </w:p>
        </w:tc>
        <w:tc>
          <w:tcPr>
            <w:tcW w:w="775" w:type="dxa"/>
            <w:noWrap w:val="0"/>
            <w:vAlign w:val="center"/>
          </w:tcPr>
          <w:p>
            <w:pPr>
              <w:widowControl/>
              <w:spacing w:line="380" w:lineRule="exact"/>
              <w:jc w:val="center"/>
              <w:rPr>
                <w:rFonts w:hint="eastAsia" w:ascii="宋体" w:hAnsi="宋体" w:cs="宋体"/>
                <w:kern w:val="0"/>
                <w:sz w:val="24"/>
              </w:rPr>
            </w:pPr>
            <w:r>
              <w:rPr>
                <w:rFonts w:hint="eastAsia" w:ascii="宋体" w:hAnsi="宋体" w:cs="宋体"/>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jc w:val="center"/>
        </w:trPr>
        <w:tc>
          <w:tcPr>
            <w:tcW w:w="1178" w:type="dxa"/>
            <w:vMerge w:val="continue"/>
            <w:shd w:val="clear" w:color="auto" w:fill="auto"/>
            <w:noWrap w:val="0"/>
            <w:vAlign w:val="top"/>
          </w:tcPr>
          <w:p>
            <w:pPr>
              <w:widowControl/>
              <w:spacing w:line="380" w:lineRule="exact"/>
              <w:jc w:val="center"/>
              <w:rPr>
                <w:rFonts w:hint="eastAsia" w:ascii="宋体" w:hAnsi="宋体" w:cs="宋体"/>
                <w:sz w:val="24"/>
              </w:rPr>
            </w:pPr>
          </w:p>
        </w:tc>
        <w:tc>
          <w:tcPr>
            <w:tcW w:w="1025" w:type="dxa"/>
            <w:shd w:val="clear" w:color="auto" w:fill="auto"/>
            <w:noWrap w:val="0"/>
            <w:vAlign w:val="center"/>
          </w:tcPr>
          <w:p>
            <w:pPr>
              <w:widowControl/>
              <w:spacing w:line="380" w:lineRule="exact"/>
              <w:jc w:val="center"/>
              <w:rPr>
                <w:rFonts w:ascii="宋体" w:hAnsi="宋体" w:cs="宋体"/>
                <w:sz w:val="24"/>
              </w:rPr>
            </w:pPr>
            <w:r>
              <w:rPr>
                <w:rFonts w:hint="eastAsia" w:ascii="宋体" w:hAnsi="宋体" w:cs="宋体"/>
                <w:sz w:val="24"/>
              </w:rPr>
              <w:t>业绩 经验</w:t>
            </w:r>
          </w:p>
        </w:tc>
        <w:tc>
          <w:tcPr>
            <w:tcW w:w="6804" w:type="dxa"/>
            <w:shd w:val="clear" w:color="000000" w:fill="FFFFFF"/>
            <w:noWrap w:val="0"/>
            <w:vAlign w:val="center"/>
          </w:tcPr>
          <w:p>
            <w:pPr>
              <w:spacing w:line="380" w:lineRule="exact"/>
              <w:ind w:firstLine="480" w:firstLineChars="200"/>
              <w:rPr>
                <w:rFonts w:ascii="宋体" w:hAnsi="宋体"/>
                <w:sz w:val="24"/>
              </w:rPr>
            </w:pPr>
            <w:r>
              <w:rPr>
                <w:rFonts w:hint="eastAsia" w:ascii="宋体" w:hAnsi="宋体"/>
                <w:sz w:val="24"/>
              </w:rPr>
              <w:t>1.根据</w:t>
            </w:r>
            <w:r>
              <w:rPr>
                <w:rFonts w:hint="eastAsia" w:ascii="宋体" w:hAnsi="宋体" w:cs="宋体"/>
                <w:kern w:val="0"/>
                <w:sz w:val="24"/>
              </w:rPr>
              <w:t>律师事务所</w:t>
            </w:r>
            <w:r>
              <w:rPr>
                <w:rFonts w:hint="eastAsia" w:ascii="宋体" w:hAnsi="宋体"/>
                <w:sz w:val="24"/>
              </w:rPr>
              <w:t>类似律师服务业绩经验进行评审</w:t>
            </w:r>
            <w:r>
              <w:rPr>
                <w:rFonts w:ascii="宋体" w:hAnsi="宋体"/>
                <w:sz w:val="24"/>
              </w:rPr>
              <w:t>。</w:t>
            </w:r>
          </w:p>
          <w:p>
            <w:pPr>
              <w:spacing w:line="380" w:lineRule="exact"/>
              <w:ind w:firstLine="480" w:firstLineChars="200"/>
              <w:rPr>
                <w:rFonts w:ascii="宋体" w:hAnsi="宋体"/>
                <w:sz w:val="24"/>
              </w:rPr>
            </w:pPr>
            <w:r>
              <w:rPr>
                <w:rFonts w:hint="eastAsia" w:ascii="宋体" w:hAnsi="宋体" w:cs="宋体"/>
                <w:kern w:val="0"/>
                <w:sz w:val="24"/>
              </w:rPr>
              <w:t>律师事务所</w:t>
            </w:r>
            <w:r>
              <w:rPr>
                <w:rFonts w:ascii="宋体" w:hAnsi="宋体"/>
                <w:sz w:val="24"/>
              </w:rPr>
              <w:t>20</w:t>
            </w:r>
            <w:r>
              <w:rPr>
                <w:rFonts w:hint="eastAsia" w:ascii="宋体" w:hAnsi="宋体"/>
                <w:sz w:val="24"/>
              </w:rPr>
              <w:t>17年</w:t>
            </w:r>
            <w:r>
              <w:rPr>
                <w:rFonts w:ascii="宋体" w:hAnsi="宋体"/>
                <w:sz w:val="24"/>
              </w:rPr>
              <w:t>1月1日</w:t>
            </w:r>
            <w:r>
              <w:rPr>
                <w:rFonts w:hint="eastAsia" w:ascii="宋体" w:hAnsi="宋体"/>
                <w:sz w:val="24"/>
              </w:rPr>
              <w:t>至今为国有企业平台公司</w:t>
            </w:r>
            <w:r>
              <w:rPr>
                <w:rFonts w:hint="eastAsia" w:ascii="宋体" w:hAnsi="宋体"/>
                <w:sz w:val="24"/>
                <w:u w:val="single"/>
              </w:rPr>
              <w:t>（仅母公司，不含子公司）</w:t>
            </w:r>
            <w:r>
              <w:rPr>
                <w:rFonts w:hint="eastAsia" w:ascii="宋体" w:hAnsi="宋体"/>
                <w:sz w:val="24"/>
              </w:rPr>
              <w:t>提供类似法律服务</w:t>
            </w:r>
            <w:r>
              <w:rPr>
                <w:rFonts w:ascii="宋体" w:hAnsi="宋体"/>
                <w:sz w:val="24"/>
              </w:rPr>
              <w:t>合</w:t>
            </w:r>
            <w:r>
              <w:rPr>
                <w:rFonts w:hint="eastAsia" w:ascii="宋体" w:hAnsi="宋体"/>
                <w:sz w:val="24"/>
              </w:rPr>
              <w:t>同为有效成功案例。1个案例计2分，本项最高10分。</w:t>
            </w:r>
          </w:p>
          <w:p>
            <w:pPr>
              <w:spacing w:line="380" w:lineRule="exact"/>
              <w:ind w:firstLine="480" w:firstLineChars="200"/>
              <w:rPr>
                <w:rFonts w:ascii="宋体" w:hAnsi="宋体"/>
                <w:sz w:val="24"/>
              </w:rPr>
            </w:pPr>
            <w:r>
              <w:rPr>
                <w:rFonts w:hint="eastAsia" w:ascii="宋体" w:hAnsi="宋体"/>
                <w:sz w:val="24"/>
              </w:rPr>
              <w:t>2.</w:t>
            </w:r>
            <w:r>
              <w:rPr>
                <w:rFonts w:hint="eastAsia" w:ascii="宋体" w:hAnsi="宋体" w:cs="宋体"/>
                <w:kern w:val="0"/>
                <w:sz w:val="24"/>
              </w:rPr>
              <w:t xml:space="preserve"> 律师事务所</w:t>
            </w:r>
            <w:r>
              <w:rPr>
                <w:rFonts w:hint="eastAsia" w:ascii="宋体" w:hAnsi="宋体"/>
                <w:sz w:val="24"/>
              </w:rPr>
              <w:t>在项目诉讼仲裁、合同评审、合同文本制定、项目谈判、项目融资、知识产权、劳动争议、</w:t>
            </w:r>
            <w:r>
              <w:rPr>
                <w:rFonts w:hint="eastAsia" w:ascii="宋体" w:hAnsi="宋体"/>
                <w:bCs/>
                <w:sz w:val="24"/>
                <w:lang w:val="en"/>
              </w:rPr>
              <w:t>企业破产、清算、转让</w:t>
            </w:r>
            <w:r>
              <w:rPr>
                <w:rFonts w:hint="eastAsia" w:ascii="宋体" w:hAnsi="宋体"/>
                <w:sz w:val="24"/>
              </w:rPr>
              <w:t>领域具有一项或多项专长；</w:t>
            </w:r>
          </w:p>
          <w:p>
            <w:pPr>
              <w:spacing w:line="380" w:lineRule="exact"/>
              <w:ind w:firstLine="480" w:firstLineChars="200"/>
              <w:rPr>
                <w:rFonts w:ascii="宋体" w:hAnsi="宋体"/>
                <w:sz w:val="24"/>
              </w:rPr>
            </w:pPr>
            <w:r>
              <w:rPr>
                <w:rFonts w:hint="eastAsia" w:ascii="宋体" w:hAnsi="宋体" w:cs="宋体"/>
                <w:kern w:val="0"/>
                <w:sz w:val="24"/>
              </w:rPr>
              <w:t>律师事务所</w:t>
            </w:r>
            <w:r>
              <w:rPr>
                <w:rFonts w:hint="eastAsia" w:ascii="宋体" w:hAnsi="宋体"/>
                <w:sz w:val="24"/>
              </w:rPr>
              <w:t>每具有一项专长计2分，没有计0分，本项最高计10分（需提供相关案件证明材料）</w:t>
            </w:r>
          </w:p>
        </w:tc>
        <w:tc>
          <w:tcPr>
            <w:tcW w:w="775" w:type="dxa"/>
            <w:noWrap w:val="0"/>
            <w:vAlign w:val="center"/>
          </w:tcPr>
          <w:p>
            <w:pPr>
              <w:widowControl/>
              <w:spacing w:line="380" w:lineRule="exact"/>
              <w:jc w:val="center"/>
              <w:rPr>
                <w:rFonts w:ascii="宋体" w:hAnsi="宋体" w:cs="宋体"/>
                <w:kern w:val="0"/>
                <w:sz w:val="24"/>
              </w:rPr>
            </w:pPr>
            <w:r>
              <w:rPr>
                <w:rFonts w:hint="eastAsia" w:ascii="宋体" w:hAnsi="宋体" w:cs="宋体"/>
                <w:kern w:val="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178" w:type="dxa"/>
            <w:noWrap w:val="0"/>
            <w:vAlign w:val="center"/>
          </w:tcPr>
          <w:p>
            <w:pPr>
              <w:widowControl/>
              <w:spacing w:line="380" w:lineRule="exact"/>
              <w:jc w:val="center"/>
              <w:rPr>
                <w:rFonts w:hint="eastAsia" w:ascii="宋体" w:hAnsi="宋体" w:cs="宋体"/>
                <w:b/>
                <w:kern w:val="0"/>
                <w:sz w:val="24"/>
              </w:rPr>
            </w:pPr>
            <w:r>
              <w:rPr>
                <w:rFonts w:hint="eastAsia" w:ascii="宋体" w:hAnsi="宋体" w:cs="宋体"/>
                <w:b/>
                <w:kern w:val="0"/>
                <w:sz w:val="24"/>
              </w:rPr>
              <w:t>价格</w:t>
            </w:r>
          </w:p>
          <w:p>
            <w:pPr>
              <w:widowControl/>
              <w:spacing w:line="380" w:lineRule="exact"/>
              <w:jc w:val="center"/>
              <w:rPr>
                <w:rFonts w:hint="eastAsia" w:ascii="宋体" w:hAnsi="宋体" w:cs="宋体"/>
                <w:b/>
                <w:kern w:val="0"/>
                <w:sz w:val="24"/>
              </w:rPr>
            </w:pPr>
            <w:r>
              <w:rPr>
                <w:rFonts w:hint="eastAsia" w:ascii="宋体" w:hAnsi="宋体" w:cs="宋体"/>
                <w:b/>
                <w:kern w:val="0"/>
                <w:sz w:val="24"/>
              </w:rPr>
              <w:t>部分</w:t>
            </w:r>
          </w:p>
          <w:p>
            <w:pPr>
              <w:widowControl/>
              <w:spacing w:line="380" w:lineRule="exact"/>
              <w:jc w:val="center"/>
              <w:rPr>
                <w:rFonts w:hint="eastAsia" w:ascii="宋体" w:hAnsi="宋体" w:cs="宋体"/>
                <w:b/>
                <w:kern w:val="0"/>
                <w:sz w:val="24"/>
              </w:rPr>
            </w:pPr>
            <w:r>
              <w:rPr>
                <w:rFonts w:hint="eastAsia" w:ascii="宋体" w:hAnsi="宋体" w:cs="宋体"/>
                <w:b/>
                <w:kern w:val="0"/>
                <w:sz w:val="24"/>
              </w:rPr>
              <w:t>20%</w:t>
            </w:r>
          </w:p>
        </w:tc>
        <w:tc>
          <w:tcPr>
            <w:tcW w:w="1025" w:type="dxa"/>
            <w:noWrap w:val="0"/>
            <w:vAlign w:val="center"/>
          </w:tcPr>
          <w:p>
            <w:pPr>
              <w:spacing w:line="380" w:lineRule="exact"/>
              <w:jc w:val="center"/>
              <w:rPr>
                <w:rFonts w:hint="eastAsia" w:ascii="宋体" w:hAnsi="宋体" w:cs="宋体"/>
                <w:sz w:val="24"/>
              </w:rPr>
            </w:pPr>
            <w:r>
              <w:rPr>
                <w:rFonts w:hint="eastAsia" w:ascii="宋体" w:hAnsi="宋体" w:cs="宋体"/>
                <w:sz w:val="24"/>
              </w:rPr>
              <w:t>价格</w:t>
            </w:r>
          </w:p>
        </w:tc>
        <w:tc>
          <w:tcPr>
            <w:tcW w:w="6804" w:type="dxa"/>
            <w:noWrap w:val="0"/>
            <w:vAlign w:val="center"/>
          </w:tcPr>
          <w:p>
            <w:pPr>
              <w:spacing w:line="380" w:lineRule="exact"/>
              <w:ind w:firstLine="480" w:firstLineChars="200"/>
              <w:rPr>
                <w:rFonts w:hint="eastAsia" w:ascii="宋体" w:hAnsi="宋体" w:cs="宋体"/>
                <w:kern w:val="0"/>
                <w:sz w:val="24"/>
              </w:rPr>
            </w:pPr>
            <w:r>
              <w:rPr>
                <w:rFonts w:hint="eastAsia" w:ascii="宋体" w:hAnsi="宋体" w:cs="宋体"/>
                <w:kern w:val="0"/>
                <w:sz w:val="24"/>
              </w:rPr>
              <w:t>根据基础金额计算报价分数。基础金额的分值为15分。基础金额以去掉最高报价金额和最低报价金额的平均价格为基础金额。</w:t>
            </w:r>
          </w:p>
          <w:p>
            <w:pPr>
              <w:spacing w:line="380" w:lineRule="exact"/>
              <w:ind w:firstLine="480" w:firstLineChars="200"/>
              <w:rPr>
                <w:rFonts w:hint="eastAsia" w:ascii="宋体" w:hAnsi="宋体" w:cs="宋体"/>
                <w:kern w:val="0"/>
                <w:sz w:val="24"/>
              </w:rPr>
            </w:pPr>
            <w:r>
              <w:rPr>
                <w:rFonts w:hint="eastAsia" w:ascii="宋体" w:hAnsi="宋体" w:cs="宋体"/>
                <w:kern w:val="0"/>
                <w:sz w:val="24"/>
              </w:rPr>
              <w:t>报价分数 =15×[1+（基础金额一报价金额）／基础金额］，所计算出的报价分数不能超过最高分20分。若入围的律师事务所不足3家时，基础金额直接以所有报价的平均格计。</w:t>
            </w:r>
          </w:p>
        </w:tc>
        <w:tc>
          <w:tcPr>
            <w:tcW w:w="775" w:type="dxa"/>
            <w:noWrap w:val="0"/>
            <w:vAlign w:val="center"/>
          </w:tcPr>
          <w:p>
            <w:pPr>
              <w:spacing w:line="380" w:lineRule="exact"/>
              <w:jc w:val="center"/>
              <w:rPr>
                <w:rFonts w:hint="eastAsia" w:ascii="宋体" w:hAnsi="宋体" w:cs="宋体"/>
                <w:sz w:val="24"/>
              </w:rPr>
            </w:pPr>
            <w:r>
              <w:rPr>
                <w:rFonts w:hint="eastAsia" w:ascii="宋体" w:hAnsi="宋体" w:cs="宋体"/>
                <w:sz w:val="24"/>
              </w:rPr>
              <w:t>20</w:t>
            </w:r>
          </w:p>
        </w:tc>
      </w:tr>
    </w:tbl>
    <w:p>
      <w:pPr>
        <w:pStyle w:val="4"/>
        <w:spacing w:line="360" w:lineRule="auto"/>
        <w:ind w:firstLine="0" w:firstLineChars="0"/>
        <w:rPr>
          <w:rFonts w:hint="eastAsia" w:ascii="宋体" w:hAnsi="宋体"/>
          <w:sz w:val="24"/>
        </w:rPr>
      </w:pPr>
    </w:p>
    <w:p>
      <w:pPr>
        <w:spacing w:before="120" w:after="120" w:line="360" w:lineRule="auto"/>
        <w:ind w:left="482"/>
        <w:rPr>
          <w:rFonts w:hint="eastAsia" w:ascii="宋体" w:hAnsi="宋体" w:cs="宋体"/>
          <w:iCs/>
          <w:color w:val="000000"/>
          <w:sz w:val="24"/>
          <w:szCs w:val="22"/>
        </w:rPr>
      </w:pPr>
    </w:p>
    <w:p>
      <w:pPr>
        <w:spacing w:line="360" w:lineRule="auto"/>
        <w:ind w:firstLine="482" w:firstLineChars="200"/>
        <w:rPr>
          <w:rFonts w:hint="eastAsia" w:ascii="宋体" w:hAnsi="宋体" w:cs="Arial"/>
          <w:b/>
          <w:sz w:val="24"/>
        </w:rPr>
      </w:pPr>
    </w:p>
    <w:p>
      <w:pPr>
        <w:spacing w:line="360" w:lineRule="auto"/>
        <w:ind w:firstLine="482" w:firstLineChars="200"/>
        <w:rPr>
          <w:rFonts w:ascii="宋体" w:hAnsi="宋体" w:cs="Arial"/>
          <w:b/>
          <w:sz w:val="24"/>
        </w:rPr>
      </w:pPr>
    </w:p>
    <w:p>
      <w:pPr>
        <w:spacing w:line="360" w:lineRule="auto"/>
        <w:rPr>
          <w:rFonts w:hint="eastAsia" w:ascii="宋体" w:hAnsi="宋体" w:cs="Arial"/>
          <w:sz w:val="30"/>
          <w:szCs w:val="30"/>
        </w:rPr>
      </w:pPr>
    </w:p>
    <w:p>
      <w:pPr>
        <w:adjustRightInd w:val="0"/>
        <w:snapToGrid w:val="0"/>
        <w:spacing w:line="360" w:lineRule="auto"/>
        <w:ind w:firstLine="720" w:firstLineChars="300"/>
        <w:rPr>
          <w:rFonts w:ascii="宋体" w:hAnsi="宋体"/>
          <w:color w:val="000000"/>
          <w:sz w:val="24"/>
        </w:rPr>
      </w:pPr>
      <w:bookmarkStart w:id="0" w:name="_Toc401149482"/>
      <w:bookmarkEnd w:id="0"/>
      <w:bookmarkStart w:id="1" w:name="_Toc401148614"/>
      <w:bookmarkEnd w:id="1"/>
      <w:bookmarkStart w:id="2" w:name="_Toc375206558"/>
      <w:bookmarkEnd w:id="2"/>
      <w:bookmarkStart w:id="3" w:name="_Toc375044276"/>
      <w:bookmarkEnd w:id="3"/>
      <w:bookmarkStart w:id="4" w:name="_Toc369877980"/>
      <w:bookmarkEnd w:id="4"/>
      <w:bookmarkStart w:id="5" w:name="_Toc375206269"/>
      <w:bookmarkEnd w:id="5"/>
      <w:bookmarkStart w:id="6" w:name="_Toc369877789"/>
      <w:bookmarkEnd w:id="6"/>
      <w:bookmarkStart w:id="7" w:name="_Toc369870371"/>
      <w:bookmarkEnd w:id="7"/>
      <w:bookmarkStart w:id="8" w:name="_Toc369797410"/>
      <w:bookmarkEnd w:id="8"/>
      <w:bookmarkStart w:id="9" w:name="_Toc447715819"/>
      <w:bookmarkEnd w:id="9"/>
      <w:bookmarkStart w:id="10" w:name="_Toc444274738"/>
      <w:bookmarkEnd w:id="10"/>
      <w:bookmarkStart w:id="11" w:name="_Toc447701806"/>
      <w:bookmarkEnd w:id="11"/>
      <w:bookmarkStart w:id="12" w:name="_Toc447701817"/>
      <w:bookmarkEnd w:id="12"/>
      <w:bookmarkStart w:id="13" w:name="_Toc447715830"/>
      <w:bookmarkEnd w:id="13"/>
      <w:bookmarkStart w:id="14" w:name="_Toc212517680"/>
      <w:bookmarkEnd w:id="14"/>
      <w:bookmarkStart w:id="15" w:name="_Toc212525421"/>
      <w:bookmarkEnd w:id="15"/>
      <w:bookmarkStart w:id="16" w:name="_Toc212516610"/>
      <w:bookmarkEnd w:id="16"/>
      <w:bookmarkStart w:id="17" w:name="_Toc212516611"/>
      <w:bookmarkEnd w:id="17"/>
      <w:bookmarkStart w:id="18" w:name="_Toc212517681"/>
      <w:bookmarkEnd w:id="18"/>
      <w:bookmarkStart w:id="19" w:name="_Toc212525422"/>
      <w:bookmarkEnd w:id="19"/>
      <w:bookmarkStart w:id="20" w:name="_Toc454355021"/>
      <w:bookmarkEnd w:id="20"/>
      <w:bookmarkStart w:id="21" w:name="_Toc164653406"/>
    </w:p>
    <w:bookmarkEnd w:id="21"/>
    <w:p>
      <w:pPr>
        <w:rPr>
          <w:rFonts w:ascii="宋体" w:hAnsi="宋体"/>
          <w:szCs w:val="20"/>
        </w:rPr>
      </w:pPr>
    </w:p>
    <w:p>
      <w:pPr>
        <w:outlineLvl w:val="0"/>
        <w:rPr>
          <w:rFonts w:ascii="宋体" w:hAnsi="宋体" w:cs="Arial"/>
        </w:rPr>
      </w:pPr>
    </w:p>
    <w:p>
      <w:pPr>
        <w:outlineLvl w:val="0"/>
        <w:rPr>
          <w:rFonts w:ascii="宋体" w:hAnsi="宋体" w:cs="Arial"/>
        </w:rPr>
      </w:pPr>
    </w:p>
    <w:p>
      <w:pPr>
        <w:outlineLvl w:val="0"/>
        <w:rPr>
          <w:rFonts w:ascii="宋体" w:hAnsi="宋体" w:cs="Arial"/>
        </w:rPr>
      </w:pPr>
    </w:p>
    <w:p>
      <w:pPr>
        <w:outlineLvl w:val="0"/>
        <w:rPr>
          <w:rFonts w:ascii="宋体" w:hAnsi="宋体" w:cs="Aria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C0324"/>
    <w:rsid w:val="1F2411C7"/>
    <w:rsid w:val="36DC3AD0"/>
    <w:rsid w:val="467D4C55"/>
    <w:rsid w:val="57557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2020-11-04T09:18:00Z</dcterms:created>
  <dc:creator>Administrator</dc:creator>
  <cp:lastModifiedBy>豹喵</cp:lastModifiedBy>
  <dcterms:modified xsi:type="dcterms:W3CDTF">2020-11-05T02:40:38Z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