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15220" w:type="dxa"/>
        <w:tblInd w:w="93" w:type="dxa"/>
        <w:tblLayout w:type="fixed"/>
        <w:tblCellMar>
          <w:top w:w="0" w:type="dxa"/>
          <w:left w:w="108" w:type="dxa"/>
          <w:bottom w:w="0" w:type="dxa"/>
          <w:right w:w="108" w:type="dxa"/>
        </w:tblCellMar>
      </w:tblPr>
      <w:tblGrid>
        <w:gridCol w:w="480"/>
        <w:gridCol w:w="2200"/>
        <w:gridCol w:w="1720"/>
        <w:gridCol w:w="1534"/>
        <w:gridCol w:w="1246"/>
        <w:gridCol w:w="1481"/>
        <w:gridCol w:w="1879"/>
        <w:gridCol w:w="1800"/>
        <w:gridCol w:w="1320"/>
        <w:gridCol w:w="1560"/>
      </w:tblGrid>
      <w:tr>
        <w:tblPrEx>
          <w:tblCellMar>
            <w:top w:w="0" w:type="dxa"/>
            <w:left w:w="108" w:type="dxa"/>
            <w:bottom w:w="0" w:type="dxa"/>
            <w:right w:w="108" w:type="dxa"/>
          </w:tblCellMar>
        </w:tblPrEx>
        <w:trPr>
          <w:trHeight w:val="679" w:hRule="atLeast"/>
        </w:trPr>
        <w:tc>
          <w:tcPr>
            <w:tcW w:w="15220" w:type="dxa"/>
            <w:gridSpan w:val="10"/>
            <w:tcBorders>
              <w:top w:val="nil"/>
              <w:left w:val="nil"/>
              <w:bottom w:val="nil"/>
              <w:right w:val="nil"/>
            </w:tcBorders>
            <w:noWrap w:val="0"/>
            <w:vAlign w:val="center"/>
          </w:tcPr>
          <w:p>
            <w:pPr>
              <w:widowControl/>
              <w:jc w:val="left"/>
              <w:rPr>
                <w:rFonts w:hint="eastAsia" w:ascii="宋体" w:hAnsi="宋体" w:cs="宋体"/>
                <w:b/>
                <w:bCs/>
                <w:kern w:val="0"/>
                <w:sz w:val="28"/>
                <w:szCs w:val="36"/>
              </w:rPr>
            </w:pPr>
            <w:r>
              <w:rPr>
                <w:rFonts w:hint="eastAsia" w:ascii="宋体" w:hAnsi="宋体" w:cs="宋体"/>
                <w:b/>
                <w:bCs/>
                <w:kern w:val="0"/>
                <w:sz w:val="28"/>
                <w:szCs w:val="36"/>
              </w:rPr>
              <w:t xml:space="preserve">附件(1) </w:t>
            </w:r>
          </w:p>
          <w:p>
            <w:pPr>
              <w:widowControl/>
              <w:jc w:val="center"/>
              <w:rPr>
                <w:rFonts w:ascii="宋体" w:hAnsi="宋体" w:cs="宋体"/>
                <w:b/>
                <w:bCs/>
                <w:kern w:val="0"/>
                <w:sz w:val="36"/>
                <w:szCs w:val="36"/>
              </w:rPr>
            </w:pPr>
            <w:r>
              <w:rPr>
                <w:rFonts w:hint="eastAsia" w:ascii="宋体" w:hAnsi="宋体" w:cs="宋体"/>
                <w:b/>
                <w:bCs/>
                <w:kern w:val="0"/>
                <w:sz w:val="36"/>
                <w:szCs w:val="36"/>
              </w:rPr>
              <w:t>评估项目基本情况明细表</w:t>
            </w:r>
          </w:p>
        </w:tc>
      </w:tr>
      <w:tr>
        <w:tblPrEx>
          <w:tblCellMar>
            <w:top w:w="0" w:type="dxa"/>
            <w:left w:w="108" w:type="dxa"/>
            <w:bottom w:w="0" w:type="dxa"/>
            <w:right w:w="108" w:type="dxa"/>
          </w:tblCellMar>
        </w:tblPrEx>
        <w:trPr>
          <w:trHeight w:val="480" w:hRule="atLeast"/>
        </w:trPr>
        <w:tc>
          <w:tcPr>
            <w:tcW w:w="480" w:type="dxa"/>
            <w:tcBorders>
              <w:top w:val="nil"/>
              <w:left w:val="nil"/>
              <w:bottom w:val="nil"/>
              <w:right w:val="nil"/>
            </w:tcBorders>
            <w:noWrap w:val="0"/>
            <w:vAlign w:val="center"/>
          </w:tcPr>
          <w:p>
            <w:pPr>
              <w:widowControl/>
              <w:jc w:val="center"/>
              <w:rPr>
                <w:rFonts w:ascii="宋体" w:hAnsi="宋体" w:cs="宋体"/>
                <w:b/>
                <w:bCs/>
                <w:kern w:val="0"/>
                <w:sz w:val="40"/>
                <w:szCs w:val="40"/>
              </w:rPr>
            </w:pPr>
          </w:p>
        </w:tc>
        <w:tc>
          <w:tcPr>
            <w:tcW w:w="2200" w:type="dxa"/>
            <w:tcBorders>
              <w:top w:val="nil"/>
              <w:left w:val="nil"/>
              <w:bottom w:val="nil"/>
              <w:right w:val="nil"/>
            </w:tcBorders>
            <w:noWrap w:val="0"/>
            <w:vAlign w:val="center"/>
          </w:tcPr>
          <w:p>
            <w:pPr>
              <w:widowControl/>
              <w:jc w:val="center"/>
              <w:rPr>
                <w:rFonts w:ascii="宋体" w:hAnsi="宋体" w:cs="宋体"/>
                <w:b/>
                <w:bCs/>
                <w:kern w:val="0"/>
                <w:sz w:val="40"/>
                <w:szCs w:val="40"/>
              </w:rPr>
            </w:pPr>
          </w:p>
        </w:tc>
        <w:tc>
          <w:tcPr>
            <w:tcW w:w="1720" w:type="dxa"/>
            <w:tcBorders>
              <w:top w:val="nil"/>
              <w:left w:val="nil"/>
              <w:bottom w:val="nil"/>
              <w:right w:val="nil"/>
            </w:tcBorders>
            <w:noWrap w:val="0"/>
            <w:vAlign w:val="center"/>
          </w:tcPr>
          <w:p>
            <w:pPr>
              <w:widowControl/>
              <w:jc w:val="center"/>
              <w:rPr>
                <w:rFonts w:ascii="宋体" w:hAnsi="宋体" w:cs="宋体"/>
                <w:b/>
                <w:bCs/>
                <w:kern w:val="0"/>
                <w:sz w:val="40"/>
                <w:szCs w:val="40"/>
              </w:rPr>
            </w:pPr>
          </w:p>
        </w:tc>
        <w:tc>
          <w:tcPr>
            <w:tcW w:w="1534" w:type="dxa"/>
            <w:tcBorders>
              <w:top w:val="nil"/>
              <w:left w:val="nil"/>
              <w:bottom w:val="nil"/>
              <w:right w:val="nil"/>
            </w:tcBorders>
            <w:noWrap w:val="0"/>
            <w:vAlign w:val="center"/>
          </w:tcPr>
          <w:p>
            <w:pPr>
              <w:widowControl/>
              <w:jc w:val="center"/>
              <w:rPr>
                <w:rFonts w:ascii="宋体" w:hAnsi="宋体" w:cs="宋体"/>
                <w:b/>
                <w:bCs/>
                <w:kern w:val="0"/>
                <w:sz w:val="40"/>
                <w:szCs w:val="40"/>
              </w:rPr>
            </w:pPr>
          </w:p>
        </w:tc>
        <w:tc>
          <w:tcPr>
            <w:tcW w:w="1246" w:type="dxa"/>
            <w:tcBorders>
              <w:top w:val="nil"/>
              <w:left w:val="nil"/>
              <w:bottom w:val="nil"/>
              <w:right w:val="nil"/>
            </w:tcBorders>
            <w:noWrap w:val="0"/>
            <w:vAlign w:val="center"/>
          </w:tcPr>
          <w:p>
            <w:pPr>
              <w:widowControl/>
              <w:jc w:val="center"/>
              <w:rPr>
                <w:rFonts w:ascii="宋体" w:hAnsi="宋体" w:cs="宋体"/>
                <w:b/>
                <w:bCs/>
                <w:kern w:val="0"/>
                <w:sz w:val="40"/>
                <w:szCs w:val="40"/>
              </w:rPr>
            </w:pPr>
          </w:p>
        </w:tc>
        <w:tc>
          <w:tcPr>
            <w:tcW w:w="1481" w:type="dxa"/>
            <w:tcBorders>
              <w:top w:val="nil"/>
              <w:left w:val="nil"/>
              <w:bottom w:val="nil"/>
              <w:right w:val="nil"/>
            </w:tcBorders>
            <w:noWrap w:val="0"/>
            <w:vAlign w:val="center"/>
          </w:tcPr>
          <w:p>
            <w:pPr>
              <w:widowControl/>
              <w:jc w:val="center"/>
              <w:rPr>
                <w:rFonts w:ascii="宋体" w:hAnsi="宋体" w:cs="宋体"/>
                <w:b/>
                <w:bCs/>
                <w:kern w:val="0"/>
                <w:sz w:val="40"/>
                <w:szCs w:val="40"/>
              </w:rPr>
            </w:pPr>
          </w:p>
        </w:tc>
        <w:tc>
          <w:tcPr>
            <w:tcW w:w="1879" w:type="dxa"/>
            <w:tcBorders>
              <w:top w:val="nil"/>
              <w:left w:val="nil"/>
              <w:bottom w:val="nil"/>
              <w:right w:val="nil"/>
            </w:tcBorders>
            <w:noWrap w:val="0"/>
            <w:vAlign w:val="center"/>
          </w:tcPr>
          <w:p>
            <w:pPr>
              <w:widowControl/>
              <w:jc w:val="center"/>
              <w:rPr>
                <w:rFonts w:ascii="宋体" w:hAnsi="宋体" w:cs="宋体"/>
                <w:b/>
                <w:bCs/>
                <w:kern w:val="0"/>
                <w:sz w:val="40"/>
                <w:szCs w:val="40"/>
              </w:rPr>
            </w:pPr>
          </w:p>
        </w:tc>
        <w:tc>
          <w:tcPr>
            <w:tcW w:w="4680" w:type="dxa"/>
            <w:gridSpan w:val="3"/>
            <w:tcBorders>
              <w:top w:val="nil"/>
              <w:left w:val="nil"/>
              <w:bottom w:val="nil"/>
              <w:right w:val="nil"/>
            </w:tcBorders>
            <w:noWrap w:val="0"/>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 xml:space="preserve">截止日期：     </w:t>
            </w:r>
            <w:r>
              <w:rPr>
                <w:rFonts w:hint="eastAsia" w:ascii="宋体" w:hAnsi="宋体" w:cs="宋体"/>
                <w:b/>
                <w:bCs/>
                <w:kern w:val="0"/>
                <w:sz w:val="22"/>
                <w:szCs w:val="22"/>
                <w:lang w:val="en-US" w:eastAsia="zh-CN"/>
              </w:rPr>
              <w:t>2020</w:t>
            </w:r>
            <w:r>
              <w:rPr>
                <w:rFonts w:hint="eastAsia" w:ascii="宋体" w:hAnsi="宋体" w:cs="宋体"/>
                <w:b/>
                <w:bCs/>
                <w:kern w:val="0"/>
                <w:sz w:val="22"/>
                <w:szCs w:val="22"/>
              </w:rPr>
              <w:t xml:space="preserve">年 </w:t>
            </w:r>
            <w:r>
              <w:rPr>
                <w:rFonts w:hint="eastAsia" w:ascii="宋体" w:hAnsi="宋体" w:cs="宋体"/>
                <w:b/>
                <w:bCs/>
                <w:kern w:val="0"/>
                <w:sz w:val="22"/>
                <w:szCs w:val="22"/>
                <w:lang w:val="en-US" w:eastAsia="zh-CN"/>
              </w:rPr>
              <w:t>3</w:t>
            </w:r>
            <w:r>
              <w:rPr>
                <w:rFonts w:hint="eastAsia" w:ascii="宋体" w:hAnsi="宋体" w:cs="宋体"/>
                <w:b/>
                <w:bCs/>
                <w:kern w:val="0"/>
                <w:sz w:val="22"/>
                <w:szCs w:val="22"/>
              </w:rPr>
              <w:t>月</w:t>
            </w:r>
            <w:r>
              <w:rPr>
                <w:rFonts w:hint="eastAsia" w:ascii="宋体" w:hAnsi="宋体" w:cs="宋体"/>
                <w:b/>
                <w:bCs/>
                <w:kern w:val="0"/>
                <w:sz w:val="22"/>
                <w:szCs w:val="22"/>
                <w:lang w:val="en-US" w:eastAsia="zh-CN"/>
              </w:rPr>
              <w:t>31</w:t>
            </w:r>
            <w:r>
              <w:rPr>
                <w:rFonts w:hint="eastAsia" w:ascii="宋体" w:hAnsi="宋体" w:cs="宋体"/>
                <w:b/>
                <w:bCs/>
                <w:kern w:val="0"/>
                <w:sz w:val="22"/>
                <w:szCs w:val="22"/>
              </w:rPr>
              <w:t>日</w:t>
            </w:r>
          </w:p>
        </w:tc>
      </w:tr>
      <w:tr>
        <w:tblPrEx>
          <w:tblCellMar>
            <w:top w:w="0" w:type="dxa"/>
            <w:left w:w="108" w:type="dxa"/>
            <w:bottom w:w="0" w:type="dxa"/>
            <w:right w:w="108" w:type="dxa"/>
          </w:tblCellMar>
        </w:tblPrEx>
        <w:trPr>
          <w:trHeight w:val="799" w:hRule="atLeast"/>
        </w:trPr>
        <w:tc>
          <w:tcPr>
            <w:tcW w:w="48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bCs/>
                <w:kern w:val="0"/>
                <w:sz w:val="24"/>
              </w:rPr>
            </w:pPr>
            <w:r>
              <w:rPr>
                <w:rFonts w:hint="eastAsia" w:ascii="宋体" w:hAnsi="宋体" w:cs="宋体"/>
                <w:b/>
                <w:bCs/>
                <w:kern w:val="0"/>
                <w:sz w:val="24"/>
              </w:rPr>
              <w:t>序号</w:t>
            </w:r>
          </w:p>
        </w:tc>
        <w:tc>
          <w:tcPr>
            <w:tcW w:w="220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b/>
                <w:bCs/>
                <w:kern w:val="0"/>
                <w:sz w:val="24"/>
              </w:rPr>
            </w:pPr>
            <w:r>
              <w:rPr>
                <w:rFonts w:hint="eastAsia" w:ascii="宋体" w:hAnsi="宋体" w:cs="宋体"/>
                <w:b/>
                <w:bCs/>
                <w:kern w:val="0"/>
                <w:sz w:val="24"/>
              </w:rPr>
              <w:t>资产名称</w:t>
            </w:r>
          </w:p>
        </w:tc>
        <w:tc>
          <w:tcPr>
            <w:tcW w:w="172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b/>
                <w:bCs/>
                <w:kern w:val="0"/>
                <w:sz w:val="24"/>
              </w:rPr>
            </w:pPr>
            <w:r>
              <w:rPr>
                <w:rFonts w:hint="eastAsia" w:ascii="宋体" w:hAnsi="宋体" w:cs="宋体"/>
                <w:b/>
                <w:bCs/>
                <w:kern w:val="0"/>
                <w:sz w:val="24"/>
              </w:rPr>
              <w:t>资产地址</w:t>
            </w:r>
          </w:p>
        </w:tc>
        <w:tc>
          <w:tcPr>
            <w:tcW w:w="1534"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b/>
                <w:bCs/>
                <w:kern w:val="0"/>
                <w:sz w:val="24"/>
              </w:rPr>
            </w:pPr>
            <w:r>
              <w:rPr>
                <w:rFonts w:hint="eastAsia" w:ascii="宋体" w:hAnsi="宋体" w:cs="宋体"/>
                <w:b/>
                <w:bCs/>
                <w:kern w:val="0"/>
                <w:sz w:val="24"/>
              </w:rPr>
              <w:t>资产现状</w:t>
            </w:r>
          </w:p>
        </w:tc>
        <w:tc>
          <w:tcPr>
            <w:tcW w:w="1246"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b/>
                <w:bCs/>
                <w:kern w:val="0"/>
                <w:sz w:val="24"/>
              </w:rPr>
            </w:pPr>
            <w:r>
              <w:rPr>
                <w:rFonts w:hint="eastAsia" w:ascii="宋体" w:hAnsi="宋体" w:cs="宋体"/>
                <w:b/>
                <w:bCs/>
                <w:kern w:val="0"/>
                <w:sz w:val="24"/>
              </w:rPr>
              <w:t>面积（㎡)</w:t>
            </w:r>
          </w:p>
        </w:tc>
        <w:tc>
          <w:tcPr>
            <w:tcW w:w="1481"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b/>
                <w:bCs/>
                <w:kern w:val="0"/>
                <w:sz w:val="24"/>
              </w:rPr>
            </w:pPr>
            <w:r>
              <w:rPr>
                <w:rFonts w:hint="eastAsia" w:ascii="宋体" w:hAnsi="宋体" w:cs="宋体"/>
                <w:b/>
                <w:bCs/>
                <w:kern w:val="0"/>
                <w:sz w:val="24"/>
              </w:rPr>
              <w:t>经营范围</w:t>
            </w:r>
          </w:p>
        </w:tc>
        <w:tc>
          <w:tcPr>
            <w:tcW w:w="1879"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b/>
                <w:bCs/>
                <w:kern w:val="0"/>
                <w:sz w:val="24"/>
              </w:rPr>
            </w:pPr>
            <w:r>
              <w:rPr>
                <w:rFonts w:hint="eastAsia" w:ascii="宋体" w:hAnsi="宋体" w:cs="宋体"/>
                <w:b/>
                <w:bCs/>
                <w:kern w:val="0"/>
                <w:sz w:val="24"/>
              </w:rPr>
              <w:t>原值</w:t>
            </w:r>
            <w:r>
              <w:rPr>
                <w:rFonts w:hint="eastAsia" w:ascii="宋体" w:hAnsi="宋体" w:cs="宋体"/>
                <w:b/>
                <w:bCs/>
                <w:kern w:val="0"/>
                <w:sz w:val="24"/>
                <w:lang w:val="en-US" w:eastAsia="zh-CN"/>
              </w:rPr>
              <w:t>(元）</w:t>
            </w:r>
          </w:p>
        </w:tc>
        <w:tc>
          <w:tcPr>
            <w:tcW w:w="180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b/>
                <w:bCs/>
                <w:kern w:val="0"/>
                <w:sz w:val="24"/>
              </w:rPr>
            </w:pPr>
            <w:r>
              <w:rPr>
                <w:rFonts w:hint="eastAsia" w:ascii="宋体" w:hAnsi="宋体" w:cs="宋体"/>
                <w:b/>
                <w:bCs/>
                <w:kern w:val="0"/>
                <w:sz w:val="24"/>
              </w:rPr>
              <w:t>净值</w:t>
            </w:r>
            <w:r>
              <w:rPr>
                <w:rFonts w:hint="eastAsia" w:ascii="宋体" w:hAnsi="宋体" w:cs="宋体"/>
                <w:b/>
                <w:bCs/>
                <w:kern w:val="0"/>
                <w:sz w:val="24"/>
                <w:lang w:val="en-US" w:eastAsia="zh-CN"/>
              </w:rPr>
              <w:t>(元）</w:t>
            </w:r>
          </w:p>
        </w:tc>
        <w:tc>
          <w:tcPr>
            <w:tcW w:w="132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b/>
                <w:bCs/>
                <w:kern w:val="0"/>
                <w:sz w:val="24"/>
              </w:rPr>
            </w:pPr>
            <w:r>
              <w:rPr>
                <w:rFonts w:hint="eastAsia" w:ascii="宋体" w:hAnsi="宋体" w:cs="宋体"/>
                <w:b/>
                <w:bCs/>
                <w:kern w:val="0"/>
                <w:sz w:val="24"/>
              </w:rPr>
              <w:t>出租期限（年）</w:t>
            </w:r>
          </w:p>
        </w:tc>
        <w:tc>
          <w:tcPr>
            <w:tcW w:w="156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b/>
                <w:bCs/>
                <w:kern w:val="0"/>
                <w:sz w:val="24"/>
              </w:rPr>
            </w:pPr>
            <w:r>
              <w:rPr>
                <w:rFonts w:hint="eastAsia" w:ascii="宋体" w:hAnsi="宋体" w:cs="宋体"/>
                <w:b/>
                <w:bCs/>
                <w:kern w:val="0"/>
                <w:sz w:val="24"/>
              </w:rPr>
              <w:t>备注</w:t>
            </w:r>
          </w:p>
        </w:tc>
      </w:tr>
      <w:tr>
        <w:tblPrEx>
          <w:tblCellMar>
            <w:top w:w="0" w:type="dxa"/>
            <w:left w:w="108" w:type="dxa"/>
            <w:bottom w:w="0" w:type="dxa"/>
            <w:right w:w="108" w:type="dxa"/>
          </w:tblCellMar>
        </w:tblPrEx>
        <w:trPr>
          <w:trHeight w:val="900" w:hRule="atLeast"/>
        </w:trPr>
        <w:tc>
          <w:tcPr>
            <w:tcW w:w="480"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4"/>
              </w:rPr>
            </w:pPr>
            <w:r>
              <w:rPr>
                <w:rFonts w:hint="eastAsia" w:ascii="宋体" w:hAnsi="宋体" w:eastAsia="宋体" w:cs="宋体"/>
                <w:kern w:val="0"/>
                <w:sz w:val="24"/>
              </w:rPr>
              <w:t xml:space="preserve">1 </w:t>
            </w:r>
          </w:p>
        </w:tc>
        <w:tc>
          <w:tcPr>
            <w:tcW w:w="220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lang w:eastAsia="zh-CN"/>
              </w:rPr>
              <w:t>灵秀大厦</w:t>
            </w:r>
            <w:r>
              <w:rPr>
                <w:rFonts w:hint="eastAsia" w:ascii="宋体" w:hAnsi="宋体" w:eastAsia="宋体" w:cs="宋体"/>
                <w:kern w:val="0"/>
                <w:sz w:val="24"/>
                <w:szCs w:val="24"/>
              </w:rPr>
              <w:t>　</w:t>
            </w:r>
          </w:p>
        </w:tc>
        <w:tc>
          <w:tcPr>
            <w:tcW w:w="172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lang w:eastAsia="zh-CN"/>
              </w:rPr>
              <w:t>明秀西路</w:t>
            </w:r>
            <w:r>
              <w:rPr>
                <w:rFonts w:hint="eastAsia" w:ascii="宋体" w:hAnsi="宋体" w:eastAsia="宋体" w:cs="宋体"/>
                <w:kern w:val="0"/>
                <w:sz w:val="24"/>
                <w:szCs w:val="24"/>
                <w:lang w:val="en-US" w:eastAsia="zh-CN"/>
              </w:rPr>
              <w:t>34号</w:t>
            </w:r>
            <w:r>
              <w:rPr>
                <w:rFonts w:hint="eastAsia" w:ascii="宋体" w:hAnsi="宋体" w:eastAsia="宋体" w:cs="宋体"/>
                <w:kern w:val="0"/>
                <w:sz w:val="24"/>
                <w:szCs w:val="24"/>
              </w:rPr>
              <w:t>　</w:t>
            </w:r>
          </w:p>
        </w:tc>
        <w:tc>
          <w:tcPr>
            <w:tcW w:w="1534"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lang w:eastAsia="zh-CN"/>
              </w:rPr>
              <w:t>现铺</w:t>
            </w:r>
            <w:r>
              <w:rPr>
                <w:rFonts w:hint="eastAsia" w:ascii="宋体" w:hAnsi="宋体" w:eastAsia="宋体" w:cs="宋体"/>
                <w:kern w:val="0"/>
                <w:sz w:val="24"/>
                <w:szCs w:val="24"/>
              </w:rPr>
              <w:t>　</w:t>
            </w:r>
          </w:p>
        </w:tc>
        <w:tc>
          <w:tcPr>
            <w:tcW w:w="1246"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23718.53　</w:t>
            </w:r>
          </w:p>
        </w:tc>
        <w:tc>
          <w:tcPr>
            <w:tcW w:w="1481"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b w:val="0"/>
                <w:bCs w:val="0"/>
                <w:sz w:val="24"/>
                <w:szCs w:val="24"/>
                <w:lang w:val="en-US" w:eastAsia="zh-CN"/>
              </w:rPr>
              <w:t>经营酒店及酒店相关配套设施</w:t>
            </w:r>
          </w:p>
        </w:tc>
        <w:tc>
          <w:tcPr>
            <w:tcW w:w="1879" w:type="dxa"/>
            <w:tcBorders>
              <w:top w:val="nil"/>
              <w:left w:val="nil"/>
              <w:bottom w:val="single" w:color="auto" w:sz="4" w:space="0"/>
              <w:right w:val="single" w:color="auto" w:sz="4" w:space="0"/>
            </w:tcBorders>
            <w:noWrap w:val="0"/>
            <w:vAlign w:val="center"/>
          </w:tcPr>
          <w:p>
            <w:pPr>
              <w:widowControl/>
              <w:tabs>
                <w:tab w:val="left" w:pos="509"/>
                <w:tab w:val="center" w:pos="1032"/>
              </w:tabs>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65,062,765.56</w:t>
            </w:r>
            <w:r>
              <w:rPr>
                <w:rFonts w:hint="eastAsia" w:ascii="宋体" w:hAnsi="宋体" w:eastAsia="宋体" w:cs="宋体"/>
                <w:kern w:val="0"/>
                <w:sz w:val="24"/>
                <w:szCs w:val="24"/>
                <w:lang w:val="en-US" w:eastAsia="zh-CN"/>
              </w:rPr>
              <w:tab/>
            </w:r>
            <w:r>
              <w:rPr>
                <w:rFonts w:hint="eastAsia" w:ascii="宋体" w:hAnsi="宋体" w:eastAsia="宋体" w:cs="宋体"/>
                <w:kern w:val="0"/>
                <w:sz w:val="24"/>
                <w:szCs w:val="24"/>
                <w:lang w:val="en-US" w:eastAsia="zh-CN"/>
              </w:rPr>
              <w:t xml:space="preserve"> </w:t>
            </w:r>
            <w:r>
              <w:rPr>
                <w:rFonts w:hint="eastAsia" w:ascii="宋体" w:hAnsi="宋体" w:eastAsia="宋体" w:cs="宋体"/>
                <w:kern w:val="0"/>
                <w:sz w:val="24"/>
                <w:szCs w:val="24"/>
              </w:rPr>
              <w:t>　</w:t>
            </w:r>
          </w:p>
        </w:tc>
        <w:tc>
          <w:tcPr>
            <w:tcW w:w="1800" w:type="dxa"/>
            <w:tcBorders>
              <w:top w:val="nil"/>
              <w:left w:val="nil"/>
              <w:bottom w:val="single" w:color="auto" w:sz="4" w:space="0"/>
              <w:right w:val="single" w:color="auto" w:sz="4" w:space="0"/>
            </w:tcBorders>
            <w:noWrap w:val="0"/>
            <w:vAlign w:val="center"/>
          </w:tcPr>
          <w:p>
            <w:pPr>
              <w:widowControl/>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 xml:space="preserve">62,224,521.92 </w:t>
            </w:r>
            <w:r>
              <w:rPr>
                <w:rFonts w:hint="eastAsia" w:ascii="宋体" w:hAnsi="宋体" w:eastAsia="宋体" w:cs="宋体"/>
                <w:kern w:val="0"/>
                <w:sz w:val="24"/>
                <w:szCs w:val="24"/>
              </w:rPr>
              <w:t>　</w:t>
            </w:r>
          </w:p>
        </w:tc>
        <w:tc>
          <w:tcPr>
            <w:tcW w:w="132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lang w:val="en-US"/>
              </w:rPr>
            </w:pPr>
            <w:r>
              <w:rPr>
                <w:rFonts w:hint="eastAsia" w:ascii="宋体" w:hAnsi="宋体" w:eastAsia="宋体" w:cs="宋体"/>
                <w:kern w:val="0"/>
                <w:sz w:val="24"/>
                <w:szCs w:val="24"/>
                <w:lang w:val="en-US" w:eastAsia="zh-CN"/>
              </w:rPr>
              <w:t>15</w:t>
            </w:r>
          </w:p>
        </w:tc>
        <w:tc>
          <w:tcPr>
            <w:tcW w:w="156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rPr>
            </w:pPr>
            <w:r>
              <w:rPr>
                <w:rFonts w:hint="eastAsia" w:ascii="宋体" w:hAnsi="宋体" w:eastAsia="宋体" w:cs="宋体"/>
                <w:b w:val="0"/>
                <w:bCs w:val="0"/>
                <w:sz w:val="24"/>
                <w:szCs w:val="24"/>
                <w:lang w:val="en-US" w:eastAsia="zh-CN"/>
              </w:rPr>
              <w:t>有工程规划许可证、土地证、消防验收意见书</w:t>
            </w:r>
            <w:r>
              <w:rPr>
                <w:rFonts w:hint="eastAsia" w:ascii="宋体" w:hAnsi="宋体" w:eastAsia="宋体" w:cs="宋体"/>
                <w:kern w:val="0"/>
                <w:sz w:val="24"/>
                <w:szCs w:val="24"/>
                <w:lang w:eastAsia="zh-CN"/>
              </w:rPr>
              <w:t>、建设工程规划条件核实证明（全面）、规划核实红线图；不动产权证正在办理中</w:t>
            </w: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900" w:hRule="atLeast"/>
        </w:trPr>
        <w:tc>
          <w:tcPr>
            <w:tcW w:w="480"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 xml:space="preserve">2 </w:t>
            </w:r>
          </w:p>
        </w:tc>
        <w:tc>
          <w:tcPr>
            <w:tcW w:w="2200" w:type="dxa"/>
            <w:tcBorders>
              <w:top w:val="nil"/>
              <w:left w:val="nil"/>
              <w:bottom w:val="single" w:color="auto" w:sz="4" w:space="0"/>
              <w:right w:val="single" w:color="auto" w:sz="4" w:space="0"/>
            </w:tcBorders>
            <w:noWrap w:val="0"/>
            <w:vAlign w:val="center"/>
          </w:tcPr>
          <w:p>
            <w:pPr>
              <w:widowControl/>
              <w:jc w:val="both"/>
              <w:rPr>
                <w:rFonts w:hint="eastAsia" w:ascii="宋体" w:hAnsi="宋体" w:eastAsia="宋体" w:cs="宋体"/>
                <w:kern w:val="0"/>
                <w:sz w:val="24"/>
                <w:szCs w:val="24"/>
                <w:lang w:val="en-US" w:eastAsia="zh-CN"/>
              </w:rPr>
            </w:pPr>
            <w:r>
              <w:rPr>
                <w:rFonts w:hint="eastAsia" w:ascii="宋体" w:hAnsi="宋体" w:cs="宋体"/>
                <w:kern w:val="0"/>
                <w:sz w:val="24"/>
                <w:lang w:eastAsia="zh-CN"/>
              </w:rPr>
              <w:t>灵秀大厦电梯（</w:t>
            </w:r>
            <w:r>
              <w:rPr>
                <w:rFonts w:hint="eastAsia" w:ascii="宋体" w:hAnsi="宋体" w:cs="宋体"/>
                <w:kern w:val="0"/>
                <w:sz w:val="24"/>
                <w:lang w:val="en-US" w:eastAsia="zh-CN"/>
              </w:rPr>
              <w:t>6台</w:t>
            </w:r>
            <w:r>
              <w:rPr>
                <w:rFonts w:hint="eastAsia" w:ascii="宋体" w:hAnsi="宋体" w:cs="宋体"/>
                <w:kern w:val="0"/>
                <w:sz w:val="24"/>
                <w:lang w:eastAsia="zh-CN"/>
              </w:rPr>
              <w:t>）</w:t>
            </w:r>
          </w:p>
        </w:tc>
        <w:tc>
          <w:tcPr>
            <w:tcW w:w="172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lang w:eastAsia="zh-CN"/>
              </w:rPr>
              <w:t>明秀西路</w:t>
            </w:r>
            <w:r>
              <w:rPr>
                <w:rFonts w:hint="eastAsia" w:ascii="宋体" w:hAnsi="宋体" w:eastAsia="宋体" w:cs="宋体"/>
                <w:kern w:val="0"/>
                <w:sz w:val="24"/>
                <w:szCs w:val="24"/>
                <w:lang w:val="en-US" w:eastAsia="zh-CN"/>
              </w:rPr>
              <w:t>34号</w:t>
            </w:r>
            <w:r>
              <w:rPr>
                <w:rFonts w:hint="eastAsia" w:ascii="宋体" w:hAnsi="宋体" w:cs="宋体"/>
                <w:kern w:val="0"/>
                <w:sz w:val="24"/>
              </w:rPr>
              <w:t>　</w:t>
            </w:r>
          </w:p>
        </w:tc>
        <w:tc>
          <w:tcPr>
            <w:tcW w:w="1534"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rPr>
            </w:pPr>
            <w:r>
              <w:rPr>
                <w:rFonts w:hint="eastAsia" w:ascii="宋体" w:hAnsi="宋体" w:cs="宋体"/>
                <w:kern w:val="0"/>
                <w:sz w:val="24"/>
              </w:rPr>
              <w:t>　</w:t>
            </w:r>
          </w:p>
        </w:tc>
        <w:tc>
          <w:tcPr>
            <w:tcW w:w="1246"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rPr>
            </w:pPr>
            <w:r>
              <w:rPr>
                <w:rFonts w:hint="eastAsia" w:ascii="宋体" w:hAnsi="宋体" w:cs="宋体"/>
                <w:kern w:val="0"/>
                <w:sz w:val="24"/>
              </w:rPr>
              <w:t>　</w:t>
            </w:r>
          </w:p>
        </w:tc>
        <w:tc>
          <w:tcPr>
            <w:tcW w:w="148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rPr>
            </w:pPr>
            <w:r>
              <w:rPr>
                <w:rFonts w:hint="eastAsia" w:ascii="宋体" w:hAnsi="宋体" w:cs="宋体"/>
                <w:kern w:val="0"/>
                <w:sz w:val="24"/>
              </w:rPr>
              <w:t>　</w:t>
            </w:r>
          </w:p>
        </w:tc>
        <w:tc>
          <w:tcPr>
            <w:tcW w:w="1879" w:type="dxa"/>
            <w:tcBorders>
              <w:top w:val="nil"/>
              <w:left w:val="nil"/>
              <w:bottom w:val="single" w:color="auto" w:sz="4" w:space="0"/>
              <w:right w:val="single" w:color="auto" w:sz="4" w:space="0"/>
            </w:tcBorders>
            <w:noWrap w:val="0"/>
            <w:vAlign w:val="center"/>
          </w:tcPr>
          <w:p>
            <w:pPr>
              <w:widowControl/>
              <w:tabs>
                <w:tab w:val="left" w:pos="386"/>
                <w:tab w:val="center" w:pos="972"/>
              </w:tabs>
              <w:jc w:val="left"/>
              <w:rPr>
                <w:rFonts w:hint="eastAsia" w:ascii="宋体" w:hAnsi="宋体" w:eastAsia="宋体" w:cs="宋体"/>
                <w:kern w:val="0"/>
                <w:sz w:val="24"/>
                <w:szCs w:val="24"/>
              </w:rPr>
            </w:pPr>
            <w:r>
              <w:rPr>
                <w:rFonts w:hint="eastAsia" w:ascii="宋体" w:hAnsi="宋体" w:cs="宋体"/>
                <w:kern w:val="0"/>
                <w:sz w:val="24"/>
                <w:lang w:val="en-US" w:eastAsia="zh-CN"/>
              </w:rPr>
              <w:t>2,159,000.00</w:t>
            </w:r>
            <w:r>
              <w:rPr>
                <w:rFonts w:hint="eastAsia" w:ascii="宋体" w:hAnsi="宋体" w:cs="宋体"/>
                <w:kern w:val="0"/>
                <w:sz w:val="24"/>
              </w:rPr>
              <w:t>　</w:t>
            </w:r>
          </w:p>
        </w:tc>
        <w:tc>
          <w:tcPr>
            <w:tcW w:w="180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rPr>
            </w:pPr>
            <w:r>
              <w:rPr>
                <w:rFonts w:hint="eastAsia" w:ascii="宋体" w:hAnsi="宋体" w:cs="宋体"/>
                <w:kern w:val="0"/>
                <w:sz w:val="24"/>
                <w:lang w:val="en-US" w:eastAsia="zh-CN"/>
              </w:rPr>
              <w:t>1,510,868.20</w:t>
            </w:r>
            <w:r>
              <w:rPr>
                <w:rFonts w:hint="eastAsia" w:ascii="宋体" w:hAnsi="宋体" w:cs="宋体"/>
                <w:kern w:val="0"/>
                <w:sz w:val="24"/>
              </w:rPr>
              <w:t>　</w:t>
            </w:r>
          </w:p>
        </w:tc>
        <w:tc>
          <w:tcPr>
            <w:tcW w:w="132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15</w:t>
            </w:r>
            <w:r>
              <w:rPr>
                <w:rFonts w:hint="eastAsia" w:ascii="宋体" w:hAnsi="宋体" w:cs="宋体"/>
                <w:kern w:val="0"/>
                <w:sz w:val="24"/>
              </w:rPr>
              <w:t>　</w:t>
            </w:r>
          </w:p>
        </w:tc>
        <w:tc>
          <w:tcPr>
            <w:tcW w:w="156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900" w:hRule="atLeast"/>
        </w:trPr>
        <w:tc>
          <w:tcPr>
            <w:tcW w:w="480" w:type="dxa"/>
            <w:tcBorders>
              <w:top w:val="nil"/>
              <w:left w:val="single" w:color="auto" w:sz="4" w:space="0"/>
              <w:bottom w:val="nil"/>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3</w:t>
            </w:r>
          </w:p>
        </w:tc>
        <w:tc>
          <w:tcPr>
            <w:tcW w:w="220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lang w:eastAsia="zh-CN"/>
              </w:rPr>
            </w:pPr>
            <w:r>
              <w:rPr>
                <w:rFonts w:hint="eastAsia" w:ascii="宋体" w:hAnsi="宋体" w:cs="宋体"/>
                <w:kern w:val="0"/>
                <w:sz w:val="24"/>
                <w:lang w:eastAsia="zh-CN"/>
              </w:rPr>
              <w:t>太阳能集热器</w:t>
            </w:r>
          </w:p>
        </w:tc>
        <w:tc>
          <w:tcPr>
            <w:tcW w:w="172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eastAsia="宋体" w:cs="宋体"/>
                <w:kern w:val="0"/>
                <w:sz w:val="24"/>
                <w:szCs w:val="24"/>
                <w:lang w:eastAsia="zh-CN"/>
              </w:rPr>
              <w:t>明秀西路</w:t>
            </w:r>
            <w:r>
              <w:rPr>
                <w:rFonts w:hint="eastAsia" w:ascii="宋体" w:hAnsi="宋体" w:eastAsia="宋体" w:cs="宋体"/>
                <w:kern w:val="0"/>
                <w:sz w:val="24"/>
                <w:szCs w:val="24"/>
                <w:lang w:val="en-US" w:eastAsia="zh-CN"/>
              </w:rPr>
              <w:t>34号</w:t>
            </w:r>
            <w:r>
              <w:rPr>
                <w:rFonts w:hint="eastAsia" w:ascii="宋体" w:hAnsi="宋体" w:cs="宋体"/>
                <w:kern w:val="0"/>
                <w:sz w:val="24"/>
              </w:rPr>
              <w:t>　</w:t>
            </w:r>
          </w:p>
        </w:tc>
        <w:tc>
          <w:tcPr>
            <w:tcW w:w="1534"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　</w:t>
            </w:r>
          </w:p>
        </w:tc>
        <w:tc>
          <w:tcPr>
            <w:tcW w:w="1246"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　</w:t>
            </w:r>
          </w:p>
        </w:tc>
        <w:tc>
          <w:tcPr>
            <w:tcW w:w="1481"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　</w:t>
            </w:r>
          </w:p>
        </w:tc>
        <w:tc>
          <w:tcPr>
            <w:tcW w:w="1879"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lang w:val="en-US" w:eastAsia="zh-CN"/>
              </w:rPr>
              <w:t>198,649.83</w:t>
            </w:r>
            <w:r>
              <w:rPr>
                <w:rFonts w:hint="eastAsia" w:ascii="宋体" w:hAnsi="宋体" w:cs="宋体"/>
                <w:kern w:val="0"/>
                <w:sz w:val="24"/>
              </w:rPr>
              <w:t>　</w:t>
            </w:r>
          </w:p>
        </w:tc>
        <w:tc>
          <w:tcPr>
            <w:tcW w:w="180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lang w:val="en-US" w:eastAsia="zh-CN"/>
              </w:rPr>
              <w:t>139,015.10</w:t>
            </w:r>
            <w:r>
              <w:rPr>
                <w:rFonts w:hint="eastAsia" w:ascii="宋体" w:hAnsi="宋体" w:cs="宋体"/>
                <w:kern w:val="0"/>
                <w:sz w:val="24"/>
              </w:rPr>
              <w:t>　</w:t>
            </w:r>
          </w:p>
        </w:tc>
        <w:tc>
          <w:tcPr>
            <w:tcW w:w="132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eastAsia="宋体" w:cs="宋体"/>
                <w:kern w:val="0"/>
                <w:sz w:val="24"/>
                <w:szCs w:val="24"/>
                <w:lang w:val="en-US" w:eastAsia="zh-CN"/>
              </w:rPr>
              <w:t>15</w:t>
            </w:r>
            <w:r>
              <w:rPr>
                <w:rFonts w:hint="eastAsia" w:ascii="宋体" w:hAnsi="宋体" w:cs="宋体"/>
                <w:kern w:val="0"/>
                <w:sz w:val="24"/>
              </w:rPr>
              <w:t>　</w:t>
            </w:r>
          </w:p>
        </w:tc>
        <w:tc>
          <w:tcPr>
            <w:tcW w:w="156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900" w:hRule="atLeast"/>
        </w:trPr>
        <w:tc>
          <w:tcPr>
            <w:tcW w:w="48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4</w:t>
            </w:r>
          </w:p>
        </w:tc>
        <w:tc>
          <w:tcPr>
            <w:tcW w:w="220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p>
        </w:tc>
        <w:tc>
          <w:tcPr>
            <w:tcW w:w="172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p>
        </w:tc>
        <w:tc>
          <w:tcPr>
            <w:tcW w:w="1534"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p>
        </w:tc>
        <w:tc>
          <w:tcPr>
            <w:tcW w:w="1246"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p>
        </w:tc>
        <w:tc>
          <w:tcPr>
            <w:tcW w:w="1481"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p>
        </w:tc>
        <w:tc>
          <w:tcPr>
            <w:tcW w:w="1879"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p>
        </w:tc>
        <w:tc>
          <w:tcPr>
            <w:tcW w:w="180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p>
        </w:tc>
        <w:tc>
          <w:tcPr>
            <w:tcW w:w="132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p>
        </w:tc>
        <w:tc>
          <w:tcPr>
            <w:tcW w:w="156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p>
        </w:tc>
      </w:tr>
    </w:tbl>
    <w:p>
      <w:pPr>
        <w:rPr>
          <w:rFonts w:ascii="仿宋_GB2312" w:eastAsia="仿宋_GB2312"/>
          <w:sz w:val="32"/>
          <w:szCs w:val="32"/>
        </w:rPr>
        <w:sectPr>
          <w:pgSz w:w="16838" w:h="11906" w:orient="landscape"/>
          <w:pgMar w:top="1361" w:right="1304" w:bottom="1418" w:left="1191" w:header="851" w:footer="992" w:gutter="0"/>
          <w:cols w:space="720" w:num="1"/>
          <w:docGrid w:type="lines" w:linePitch="312" w:charSpace="0"/>
        </w:sectPr>
      </w:pPr>
    </w:p>
    <w:p>
      <w:pPr>
        <w:rPr>
          <w:rFonts w:hint="eastAsia" w:ascii="黑体" w:hAnsi="黑体" w:eastAsia="黑体" w:cs="黑体"/>
          <w:sz w:val="32"/>
          <w:szCs w:val="32"/>
        </w:rPr>
      </w:pPr>
      <w:r>
        <w:rPr>
          <w:rFonts w:hint="eastAsia" w:ascii="黑体" w:hAnsi="黑体" w:eastAsia="黑体" w:cs="黑体"/>
          <w:sz w:val="32"/>
          <w:szCs w:val="32"/>
        </w:rPr>
        <w:t>附件(2)</w:t>
      </w:r>
    </w:p>
    <w:p>
      <w:pPr>
        <w:jc w:val="center"/>
        <w:rPr>
          <w:rFonts w:hint="eastAsia" w:ascii="仿宋_GB2312" w:eastAsia="仿宋_GB2312"/>
          <w:sz w:val="32"/>
          <w:szCs w:val="32"/>
        </w:rPr>
      </w:pPr>
      <w:r>
        <w:rPr>
          <w:rFonts w:hint="eastAsia" w:ascii="方正小标宋简体" w:eastAsia="方正小标宋简体"/>
          <w:sz w:val="44"/>
          <w:szCs w:val="44"/>
        </w:rPr>
        <w:t>竞聘人报价及基本情况表（格式）</w:t>
      </w:r>
    </w:p>
    <w:p>
      <w:pPr>
        <w:rPr>
          <w:rFonts w:hint="eastAsia" w:ascii="仿宋_GB2312" w:eastAsia="仿宋_GB2312"/>
          <w:sz w:val="32"/>
          <w:szCs w:val="32"/>
        </w:rPr>
      </w:pPr>
      <w:r>
        <w:rPr>
          <w:rFonts w:hint="eastAsia" w:ascii="仿宋_GB2312" w:eastAsia="仿宋_GB2312"/>
          <w:sz w:val="32"/>
          <w:szCs w:val="32"/>
        </w:rPr>
        <w:t>竞聘人名称（加盖公章）：</w:t>
      </w:r>
    </w:p>
    <w:p>
      <w:pPr>
        <w:rPr>
          <w:rFonts w:hint="eastAsia" w:ascii="仿宋_GB2312" w:eastAsia="仿宋_GB2312"/>
          <w:sz w:val="32"/>
          <w:szCs w:val="32"/>
        </w:rPr>
      </w:pPr>
      <w:r>
        <w:rPr>
          <w:rFonts w:hint="eastAsia" w:ascii="仿宋_GB2312" w:eastAsia="仿宋_GB2312"/>
          <w:sz w:val="32"/>
          <w:szCs w:val="32"/>
        </w:rPr>
        <w:t>联系人：                  联系方式：</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trPr>
        <w:tc>
          <w:tcPr>
            <w:tcW w:w="9343" w:type="dxa"/>
            <w:noWrap w:val="0"/>
            <w:vAlign w:val="top"/>
          </w:tcPr>
          <w:p>
            <w:pPr>
              <w:rPr>
                <w:rFonts w:hint="eastAsia" w:ascii="仿宋_GB2312" w:eastAsia="仿宋_GB2312"/>
                <w:sz w:val="32"/>
                <w:szCs w:val="32"/>
              </w:rPr>
            </w:pPr>
            <w:r>
              <w:rPr>
                <w:rFonts w:hint="eastAsia" w:ascii="仿宋_GB2312" w:eastAsia="仿宋_GB2312"/>
                <w:sz w:val="32"/>
                <w:szCs w:val="32"/>
              </w:rPr>
              <w:t>被评估项目名称：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7" w:hRule="atLeast"/>
        </w:trPr>
        <w:tc>
          <w:tcPr>
            <w:tcW w:w="9343" w:type="dxa"/>
            <w:noWrap w:val="0"/>
            <w:vAlign w:val="top"/>
          </w:tcPr>
          <w:p>
            <w:pPr>
              <w:rPr>
                <w:rFonts w:hint="eastAsia" w:ascii="仿宋_GB2312" w:eastAsia="仿宋_GB2312"/>
                <w:sz w:val="32"/>
                <w:szCs w:val="32"/>
              </w:rPr>
            </w:pPr>
            <w:r>
              <w:rPr>
                <w:rFonts w:hint="eastAsia" w:ascii="仿宋_GB2312" w:eastAsia="仿宋_GB2312"/>
                <w:sz w:val="32"/>
                <w:szCs w:val="32"/>
              </w:rPr>
              <w:t>评估报价：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8" w:hRule="atLeast"/>
        </w:trPr>
        <w:tc>
          <w:tcPr>
            <w:tcW w:w="9343" w:type="dxa"/>
            <w:noWrap w:val="0"/>
            <w:vAlign w:val="top"/>
          </w:tcPr>
          <w:p>
            <w:pPr>
              <w:rPr>
                <w:rFonts w:hint="eastAsia" w:ascii="仿宋_GB2312" w:eastAsia="仿宋_GB2312"/>
                <w:sz w:val="32"/>
                <w:szCs w:val="32"/>
              </w:rPr>
            </w:pPr>
            <w:r>
              <w:rPr>
                <w:rFonts w:hint="eastAsia" w:ascii="仿宋_GB2312" w:eastAsia="仿宋_GB2312"/>
                <w:sz w:val="32"/>
                <w:szCs w:val="32"/>
              </w:rPr>
              <w:t>参加评估工作人数：    人，其中注册资产评估师：   人。</w:t>
            </w:r>
          </w:p>
          <w:p>
            <w:pPr>
              <w:rPr>
                <w:rFonts w:hint="eastAsia" w:ascii="仿宋_GB2312" w:eastAsia="仿宋_GB2312"/>
                <w:sz w:val="32"/>
                <w:szCs w:val="32"/>
              </w:rPr>
            </w:pPr>
            <w:r>
              <w:rPr>
                <w:rFonts w:hint="eastAsia" w:ascii="仿宋_GB2312" w:eastAsia="仿宋_GB2312"/>
                <w:sz w:val="32"/>
                <w:szCs w:val="32"/>
              </w:rPr>
              <w:t>预计评估工作时间：    天， 其中进点评估时间：    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1" w:hRule="atLeast"/>
        </w:trPr>
        <w:tc>
          <w:tcPr>
            <w:tcW w:w="9343" w:type="dxa"/>
            <w:noWrap w:val="0"/>
            <w:vAlign w:val="top"/>
          </w:tcPr>
          <w:p>
            <w:pPr>
              <w:rPr>
                <w:rFonts w:hint="eastAsia" w:ascii="仿宋_GB2312" w:eastAsia="仿宋_GB2312"/>
                <w:sz w:val="32"/>
                <w:szCs w:val="32"/>
              </w:rPr>
            </w:pPr>
            <w:r>
              <w:rPr>
                <w:rFonts w:hint="eastAsia" w:ascii="仿宋_GB2312" w:eastAsia="仿宋_GB2312"/>
                <w:sz w:val="32"/>
                <w:szCs w:val="32"/>
              </w:rPr>
              <w:t>工作经验统计：</w:t>
            </w:r>
          </w:p>
          <w:p>
            <w:pPr>
              <w:rPr>
                <w:rFonts w:hint="eastAsia" w:ascii="仿宋_GB2312" w:eastAsia="仿宋_GB2312"/>
                <w:sz w:val="32"/>
                <w:szCs w:val="32"/>
              </w:rPr>
            </w:pPr>
            <w:r>
              <w:rPr>
                <w:rFonts w:hint="eastAsia" w:ascii="仿宋_GB2312" w:eastAsia="仿宋_GB2312"/>
                <w:sz w:val="32"/>
                <w:szCs w:val="32"/>
              </w:rPr>
              <w:t>20</w:t>
            </w:r>
            <w:r>
              <w:rPr>
                <w:rFonts w:hint="eastAsia" w:ascii="仿宋_GB2312" w:eastAsia="仿宋_GB2312"/>
                <w:sz w:val="32"/>
                <w:szCs w:val="32"/>
                <w:u w:val="single"/>
              </w:rPr>
              <w:t xml:space="preserve">  </w:t>
            </w:r>
            <w:r>
              <w:rPr>
                <w:rFonts w:hint="eastAsia" w:ascii="仿宋_GB2312" w:eastAsia="仿宋_GB2312"/>
                <w:sz w:val="32"/>
                <w:szCs w:val="32"/>
              </w:rPr>
              <w:t>年：    个评估服务项目    20</w:t>
            </w:r>
            <w:r>
              <w:rPr>
                <w:rFonts w:hint="eastAsia" w:ascii="仿宋_GB2312" w:eastAsia="仿宋_GB2312"/>
                <w:sz w:val="32"/>
                <w:szCs w:val="32"/>
                <w:u w:val="single"/>
              </w:rPr>
              <w:t xml:space="preserve">  </w:t>
            </w:r>
            <w:r>
              <w:rPr>
                <w:rFonts w:hint="eastAsia" w:ascii="仿宋_GB2312" w:eastAsia="仿宋_GB2312"/>
                <w:sz w:val="32"/>
                <w:szCs w:val="32"/>
              </w:rPr>
              <w:t>年：    个评估服务项目</w:t>
            </w:r>
          </w:p>
          <w:p>
            <w:pPr>
              <w:rPr>
                <w:rFonts w:hint="eastAsia" w:ascii="仿宋_GB2312" w:eastAsia="仿宋_GB2312"/>
                <w:sz w:val="32"/>
                <w:szCs w:val="32"/>
              </w:rPr>
            </w:pPr>
            <w:r>
              <w:rPr>
                <w:rFonts w:hint="eastAsia" w:ascii="仿宋_GB2312" w:eastAsia="仿宋_GB2312"/>
                <w:sz w:val="32"/>
                <w:szCs w:val="32"/>
              </w:rPr>
              <w:t>20</w:t>
            </w:r>
            <w:r>
              <w:rPr>
                <w:rFonts w:hint="eastAsia" w:ascii="仿宋_GB2312" w:eastAsia="仿宋_GB2312"/>
                <w:sz w:val="32"/>
                <w:szCs w:val="32"/>
                <w:u w:val="single"/>
              </w:rPr>
              <w:t xml:space="preserve">  </w:t>
            </w:r>
            <w:r>
              <w:rPr>
                <w:rFonts w:hint="eastAsia" w:ascii="仿宋_GB2312" w:eastAsia="仿宋_GB2312"/>
                <w:sz w:val="32"/>
                <w:szCs w:val="32"/>
              </w:rPr>
              <w:t>年：    个评估服务项目    20</w:t>
            </w:r>
            <w:r>
              <w:rPr>
                <w:rFonts w:hint="eastAsia" w:ascii="仿宋_GB2312" w:eastAsia="仿宋_GB2312"/>
                <w:sz w:val="32"/>
                <w:szCs w:val="32"/>
                <w:u w:val="single"/>
              </w:rPr>
              <w:t xml:space="preserve">  </w:t>
            </w:r>
            <w:r>
              <w:rPr>
                <w:rFonts w:hint="eastAsia" w:ascii="仿宋_GB2312" w:eastAsia="仿宋_GB2312"/>
                <w:sz w:val="32"/>
                <w:szCs w:val="32"/>
              </w:rPr>
              <w:t>年：    个评估服务项目</w:t>
            </w:r>
          </w:p>
          <w:p>
            <w:pPr>
              <w:rPr>
                <w:rFonts w:hint="eastAsia" w:ascii="仿宋_GB2312" w:eastAsia="仿宋_GB2312"/>
                <w:sz w:val="32"/>
                <w:szCs w:val="32"/>
              </w:rPr>
            </w:pPr>
            <w:r>
              <w:rPr>
                <w:rFonts w:hint="eastAsia" w:ascii="仿宋_GB2312" w:eastAsia="仿宋_GB2312"/>
                <w:sz w:val="32"/>
                <w:szCs w:val="32"/>
              </w:rPr>
              <w:t>20</w:t>
            </w:r>
            <w:r>
              <w:rPr>
                <w:rFonts w:hint="eastAsia" w:ascii="仿宋_GB2312" w:eastAsia="仿宋_GB2312"/>
                <w:sz w:val="32"/>
                <w:szCs w:val="32"/>
                <w:u w:val="single"/>
              </w:rPr>
              <w:t xml:space="preserve">  </w:t>
            </w:r>
            <w:r>
              <w:rPr>
                <w:rFonts w:hint="eastAsia" w:ascii="仿宋_GB2312" w:eastAsia="仿宋_GB2312"/>
                <w:sz w:val="32"/>
                <w:szCs w:val="32"/>
              </w:rPr>
              <w:t>年：    个评估服务项目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8" w:hRule="atLeast"/>
        </w:trPr>
        <w:tc>
          <w:tcPr>
            <w:tcW w:w="9343" w:type="dxa"/>
            <w:noWrap w:val="0"/>
            <w:vAlign w:val="top"/>
          </w:tcPr>
          <w:p>
            <w:pPr>
              <w:rPr>
                <w:rFonts w:hint="eastAsia" w:ascii="仿宋_GB2312" w:eastAsia="仿宋_GB2312"/>
                <w:sz w:val="32"/>
                <w:szCs w:val="32"/>
              </w:rPr>
            </w:pPr>
            <w:r>
              <w:rPr>
                <w:rFonts w:hint="eastAsia" w:ascii="仿宋_GB2312" w:eastAsia="仿宋_GB2312"/>
                <w:sz w:val="32"/>
                <w:szCs w:val="32"/>
              </w:rPr>
              <w:t>资质水平：</w:t>
            </w:r>
          </w:p>
          <w:p>
            <w:pPr>
              <w:rPr>
                <w:rFonts w:hint="eastAsia" w:ascii="仿宋_GB2312" w:eastAsia="仿宋_GB2312"/>
                <w:sz w:val="32"/>
                <w:szCs w:val="32"/>
              </w:rPr>
            </w:pPr>
            <w:r>
              <w:rPr>
                <w:rFonts w:hint="eastAsia" w:ascii="仿宋_GB2312" w:eastAsia="仿宋_GB2312"/>
                <w:sz w:val="32"/>
                <w:szCs w:val="32"/>
              </w:rPr>
              <w:t>1、注册</w:t>
            </w:r>
            <w:r>
              <w:rPr>
                <w:rFonts w:hint="eastAsia" w:ascii="仿宋_GB2312" w:eastAsia="仿宋_GB2312"/>
                <w:sz w:val="32"/>
                <w:szCs w:val="32"/>
                <w:u w:val="single"/>
              </w:rPr>
              <w:t xml:space="preserve">      </w:t>
            </w:r>
            <w:r>
              <w:rPr>
                <w:rFonts w:hint="eastAsia" w:ascii="仿宋_GB2312" w:eastAsia="仿宋_GB2312"/>
                <w:sz w:val="32"/>
                <w:szCs w:val="32"/>
              </w:rPr>
              <w:t>总人数：    人</w:t>
            </w:r>
          </w:p>
          <w:p>
            <w:pPr>
              <w:rPr>
                <w:rFonts w:hint="eastAsia" w:ascii="仿宋_GB2312" w:eastAsia="仿宋_GB2312"/>
                <w:sz w:val="32"/>
                <w:szCs w:val="32"/>
              </w:rPr>
            </w:pPr>
            <w:r>
              <w:rPr>
                <w:rFonts w:hint="eastAsia" w:ascii="仿宋_GB2312" w:eastAsia="仿宋_GB2312"/>
                <w:sz w:val="32"/>
                <w:szCs w:val="32"/>
              </w:rPr>
              <w:t>2、企业信誉及荣誉：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3" w:hRule="atLeast"/>
        </w:trPr>
        <w:tc>
          <w:tcPr>
            <w:tcW w:w="9343" w:type="dxa"/>
            <w:noWrap w:val="0"/>
            <w:vAlign w:val="top"/>
          </w:tcPr>
          <w:p>
            <w:pPr>
              <w:rPr>
                <w:rFonts w:hint="eastAsia" w:ascii="仿宋_GB2312" w:eastAsia="仿宋_GB2312"/>
                <w:sz w:val="32"/>
                <w:szCs w:val="32"/>
              </w:rPr>
            </w:pPr>
            <w:r>
              <w:rPr>
                <w:rFonts w:hint="eastAsia" w:ascii="仿宋_GB2312" w:eastAsia="仿宋_GB2312"/>
                <w:sz w:val="32"/>
                <w:szCs w:val="32"/>
              </w:rPr>
              <w:t>竞聘人认为需补充的其他信息</w:t>
            </w:r>
          </w:p>
        </w:tc>
      </w:tr>
    </w:tbl>
    <w:p>
      <w:pPr>
        <w:spacing w:line="460" w:lineRule="exact"/>
        <w:ind w:right="640"/>
        <w:jc w:val="left"/>
        <w:rPr>
          <w:rFonts w:hint="eastAsia" w:ascii="黑体" w:hAnsi="黑体" w:eastAsia="黑体" w:cs="黑体"/>
          <w:sz w:val="32"/>
          <w:szCs w:val="32"/>
        </w:rPr>
      </w:pPr>
    </w:p>
    <w:p>
      <w:pPr>
        <w:spacing w:line="460" w:lineRule="exact"/>
        <w:ind w:right="640"/>
        <w:jc w:val="left"/>
        <w:rPr>
          <w:rFonts w:hint="eastAsia" w:ascii="宋体" w:hAnsi="宋体" w:cs="宋体"/>
          <w:sz w:val="44"/>
          <w:szCs w:val="44"/>
        </w:rPr>
      </w:pPr>
      <w:r>
        <w:rPr>
          <w:rFonts w:hint="eastAsia" w:ascii="黑体" w:hAnsi="黑体" w:eastAsia="黑体" w:cs="黑体"/>
          <w:sz w:val="32"/>
          <w:szCs w:val="32"/>
        </w:rPr>
        <w:t>附件(3)</w:t>
      </w:r>
    </w:p>
    <w:p>
      <w:pPr>
        <w:spacing w:line="460" w:lineRule="exact"/>
        <w:jc w:val="center"/>
        <w:rPr>
          <w:rFonts w:hint="eastAsia" w:ascii="宋体" w:hAnsi="宋体" w:cs="宋体"/>
          <w:b/>
          <w:sz w:val="44"/>
          <w:szCs w:val="44"/>
          <w:lang w:val="zh-CN"/>
        </w:rPr>
      </w:pPr>
      <w:r>
        <w:rPr>
          <w:rFonts w:hint="eastAsia" w:ascii="宋体" w:hAnsi="宋体" w:cs="宋体"/>
          <w:b/>
          <w:sz w:val="44"/>
          <w:szCs w:val="44"/>
          <w:lang w:val="zh-CN"/>
        </w:rPr>
        <w:t>南宁建宁水务投资集团有限责任公司</w:t>
      </w:r>
    </w:p>
    <w:p>
      <w:pPr>
        <w:spacing w:line="460" w:lineRule="exact"/>
        <w:jc w:val="center"/>
        <w:rPr>
          <w:rFonts w:hint="eastAsia" w:ascii="宋体" w:hAnsi="宋体" w:cs="宋体"/>
          <w:b/>
          <w:sz w:val="44"/>
          <w:szCs w:val="44"/>
        </w:rPr>
      </w:pPr>
      <w:r>
        <w:rPr>
          <w:rFonts w:hint="eastAsia" w:ascii="宋体" w:hAnsi="宋体" w:cs="宋体"/>
          <w:b/>
          <w:sz w:val="44"/>
          <w:szCs w:val="44"/>
          <w:lang w:val="zh-CN"/>
        </w:rPr>
        <w:t>关于</w:t>
      </w:r>
      <w:r>
        <w:rPr>
          <w:rFonts w:hint="eastAsia" w:ascii="宋体" w:hAnsi="宋体"/>
          <w:b/>
          <w:sz w:val="44"/>
          <w:szCs w:val="44"/>
          <w:u w:val="single"/>
          <w:lang w:val="en-US" w:eastAsia="zh-CN"/>
        </w:rPr>
        <w:t>灵秀大厦及其相关附属设施年租金价格评估</w:t>
      </w:r>
      <w:r>
        <w:rPr>
          <w:rFonts w:hint="eastAsia" w:ascii="宋体" w:hAnsi="宋体" w:cs="宋体"/>
          <w:b/>
          <w:sz w:val="44"/>
          <w:szCs w:val="44"/>
        </w:rPr>
        <w:t>项目评审办法</w:t>
      </w:r>
    </w:p>
    <w:p>
      <w:pPr>
        <w:keepNext w:val="0"/>
        <w:keepLines w:val="0"/>
        <w:pageBreakBefore w:val="0"/>
        <w:widowControl w:val="0"/>
        <w:tabs>
          <w:tab w:val="left" w:pos="1800"/>
        </w:tabs>
        <w:kinsoku/>
        <w:wordWrap/>
        <w:overflowPunct/>
        <w:topLinePunct w:val="0"/>
        <w:autoSpaceDE/>
        <w:autoSpaceDN/>
        <w:bidi w:val="0"/>
        <w:adjustRightInd/>
        <w:snapToGrid/>
        <w:spacing w:line="440" w:lineRule="exact"/>
        <w:ind w:left="644"/>
        <w:textAlignment w:val="auto"/>
        <w:rPr>
          <w:rFonts w:hint="eastAsia" w:ascii="仿宋_GB2312" w:hAnsi="仿宋_GB2312" w:eastAsia="仿宋_GB2312"/>
          <w:b/>
          <w:sz w:val="32"/>
          <w:szCs w:val="32"/>
          <w:lang w:val="zh-CN"/>
        </w:rPr>
      </w:pPr>
      <w:r>
        <w:rPr>
          <w:rFonts w:hint="eastAsia" w:ascii="仿宋_GB2312" w:hAnsi="仿宋_GB2312" w:eastAsia="仿宋_GB2312"/>
          <w:b/>
          <w:sz w:val="32"/>
          <w:szCs w:val="32"/>
          <w:lang w:val="zh-CN"/>
        </w:rPr>
        <w:t>一、评分细则</w:t>
      </w:r>
    </w:p>
    <w:p>
      <w:pPr>
        <w:keepNext w:val="0"/>
        <w:keepLines w:val="0"/>
        <w:pageBreakBefore w:val="0"/>
        <w:widowControl w:val="0"/>
        <w:tabs>
          <w:tab w:val="left" w:pos="1620"/>
        </w:tabs>
        <w:kinsoku/>
        <w:wordWrap/>
        <w:overflowPunct/>
        <w:topLinePunct w:val="0"/>
        <w:autoSpaceDE/>
        <w:autoSpaceDN/>
        <w:bidi w:val="0"/>
        <w:adjustRightInd/>
        <w:snapToGrid/>
        <w:spacing w:line="440" w:lineRule="exact"/>
        <w:ind w:firstLine="640" w:firstLineChars="200"/>
        <w:textAlignment w:val="auto"/>
        <w:rPr>
          <w:rFonts w:hint="eastAsia" w:ascii="仿宋_GB2312" w:hAnsi="仿宋_GB2312" w:eastAsia="仿宋_GB2312"/>
          <w:sz w:val="32"/>
          <w:szCs w:val="32"/>
          <w:lang w:val="zh-CN"/>
        </w:rPr>
      </w:pPr>
      <w:r>
        <w:rPr>
          <w:rFonts w:hint="eastAsia" w:ascii="仿宋_GB2312" w:hAnsi="仿宋_GB2312" w:eastAsia="仿宋_GB2312"/>
          <w:sz w:val="32"/>
          <w:szCs w:val="32"/>
        </w:rPr>
        <w:t>1、</w:t>
      </w:r>
      <w:r>
        <w:rPr>
          <w:rFonts w:hint="eastAsia" w:ascii="仿宋_GB2312" w:hAnsi="仿宋_GB2312" w:eastAsia="仿宋_GB2312"/>
          <w:sz w:val="32"/>
          <w:szCs w:val="32"/>
          <w:lang w:val="zh-CN"/>
        </w:rPr>
        <w:t>评审采用评分制，满分100分。总分以报价分数与现场评分分数加和计算。总得分最高的竞聘人中选，有2家以上（含</w:t>
      </w:r>
      <w:r>
        <w:rPr>
          <w:rFonts w:hint="eastAsia" w:ascii="仿宋_GB2312" w:hAnsi="仿宋_GB2312" w:eastAsia="仿宋_GB2312"/>
          <w:sz w:val="32"/>
          <w:szCs w:val="32"/>
        </w:rPr>
        <w:t>2家）</w:t>
      </w:r>
      <w:r>
        <w:rPr>
          <w:rFonts w:hint="eastAsia" w:ascii="仿宋_GB2312" w:hAnsi="仿宋_GB2312" w:eastAsia="仿宋_GB2312"/>
          <w:sz w:val="32"/>
          <w:szCs w:val="32"/>
          <w:lang w:val="zh-CN"/>
        </w:rPr>
        <w:t>竞聘人得到相同最高得分的，采取公开抽签方式确定中选的竞聘人。</w:t>
      </w:r>
    </w:p>
    <w:p>
      <w:pPr>
        <w:keepNext w:val="0"/>
        <w:keepLines w:val="0"/>
        <w:pageBreakBefore w:val="0"/>
        <w:widowControl w:val="0"/>
        <w:tabs>
          <w:tab w:val="left" w:pos="1620"/>
        </w:tabs>
        <w:kinsoku/>
        <w:wordWrap/>
        <w:overflowPunct/>
        <w:topLinePunct w:val="0"/>
        <w:autoSpaceDE/>
        <w:autoSpaceDN/>
        <w:bidi w:val="0"/>
        <w:adjustRightInd/>
        <w:snapToGrid/>
        <w:spacing w:line="440" w:lineRule="exact"/>
        <w:ind w:firstLine="640" w:firstLineChars="200"/>
        <w:textAlignment w:val="auto"/>
        <w:rPr>
          <w:rFonts w:hint="eastAsia" w:ascii="仿宋_GB2312" w:hAnsi="仿宋_GB2312" w:eastAsia="仿宋_GB2312"/>
          <w:sz w:val="32"/>
          <w:szCs w:val="32"/>
          <w:lang w:val="zh-CN"/>
        </w:rPr>
      </w:pPr>
      <w:r>
        <w:rPr>
          <w:rFonts w:hint="eastAsia" w:ascii="仿宋_GB2312" w:hAnsi="仿宋_GB2312" w:eastAsia="仿宋_GB2312"/>
          <w:sz w:val="32"/>
          <w:szCs w:val="32"/>
        </w:rPr>
        <w:t>2、</w:t>
      </w:r>
      <w:r>
        <w:rPr>
          <w:rFonts w:hint="eastAsia" w:ascii="仿宋_GB2312" w:hAnsi="仿宋_GB2312" w:eastAsia="仿宋_GB2312"/>
          <w:sz w:val="32"/>
          <w:szCs w:val="32"/>
          <w:lang w:val="zh-CN"/>
        </w:rPr>
        <w:t>报价分数占总分的40%，根据基础金额计算报价分数。基础金额的分值为30分。基础金额以去掉最高报价和最低报价金额的平均价格为基础金额。报价分数（保留两位小数）=30×[1+（基础金额-报价金额）/基础金额]，所计算出的报价分数不能超过最高分40分，同时不能低于最低分10分。</w:t>
      </w:r>
    </w:p>
    <w:p>
      <w:pPr>
        <w:keepNext w:val="0"/>
        <w:keepLines w:val="0"/>
        <w:pageBreakBefore w:val="0"/>
        <w:widowControl w:val="0"/>
        <w:kinsoku/>
        <w:wordWrap/>
        <w:overflowPunct/>
        <w:topLinePunct w:val="0"/>
        <w:autoSpaceDE/>
        <w:autoSpaceDN/>
        <w:bidi w:val="0"/>
        <w:adjustRightInd/>
        <w:snapToGrid/>
        <w:spacing w:line="440" w:lineRule="exact"/>
        <w:ind w:firstLine="672" w:firstLineChars="210"/>
        <w:textAlignment w:val="auto"/>
        <w:rPr>
          <w:rFonts w:hint="eastAsia" w:ascii="仿宋_GB2312" w:hAnsi="仿宋_GB2312" w:eastAsia="仿宋_GB2312"/>
          <w:sz w:val="32"/>
          <w:szCs w:val="32"/>
          <w:lang w:val="zh-CN"/>
        </w:rPr>
      </w:pPr>
      <w:r>
        <w:rPr>
          <w:rFonts w:hint="eastAsia" w:ascii="仿宋_GB2312" w:hAnsi="仿宋_GB2312" w:eastAsia="仿宋_GB2312"/>
          <w:sz w:val="32"/>
          <w:szCs w:val="32"/>
          <w:lang w:val="zh-CN"/>
        </w:rPr>
        <w:t>若入围的竞聘人不足</w:t>
      </w:r>
      <w:r>
        <w:rPr>
          <w:rFonts w:hint="eastAsia" w:ascii="仿宋_GB2312" w:hAnsi="仿宋_GB2312" w:eastAsia="仿宋_GB2312"/>
          <w:sz w:val="32"/>
          <w:szCs w:val="32"/>
        </w:rPr>
        <w:t>5</w:t>
      </w:r>
      <w:r>
        <w:rPr>
          <w:rFonts w:hint="eastAsia" w:ascii="仿宋_GB2312" w:hAnsi="仿宋_GB2312" w:eastAsia="仿宋_GB2312"/>
          <w:sz w:val="32"/>
          <w:szCs w:val="32"/>
          <w:lang w:val="zh-CN"/>
        </w:rPr>
        <w:t>家时，基础金额直接以所有报价的平均价格计。</w:t>
      </w:r>
    </w:p>
    <w:p>
      <w:pPr>
        <w:keepNext w:val="0"/>
        <w:keepLines w:val="0"/>
        <w:pageBreakBefore w:val="0"/>
        <w:widowControl w:val="0"/>
        <w:kinsoku/>
        <w:wordWrap/>
        <w:overflowPunct/>
        <w:topLinePunct w:val="0"/>
        <w:autoSpaceDE/>
        <w:autoSpaceDN/>
        <w:bidi w:val="0"/>
        <w:adjustRightInd/>
        <w:snapToGrid/>
        <w:spacing w:line="440" w:lineRule="exact"/>
        <w:ind w:firstLine="672" w:firstLineChars="210"/>
        <w:textAlignment w:val="auto"/>
        <w:rPr>
          <w:rFonts w:hint="eastAsia" w:ascii="仿宋_GB2312" w:hAnsi="仿宋_GB2312" w:eastAsia="仿宋_GB2312"/>
          <w:color w:val="FF0000"/>
          <w:sz w:val="32"/>
          <w:szCs w:val="32"/>
          <w:u w:val="single"/>
          <w:lang w:val="zh-CN"/>
        </w:rPr>
      </w:pPr>
      <w:r>
        <w:rPr>
          <w:rFonts w:hint="eastAsia" w:ascii="仿宋_GB2312" w:hAnsi="仿宋_GB2312" w:eastAsia="仿宋_GB2312"/>
          <w:color w:val="FF0000"/>
          <w:sz w:val="32"/>
          <w:szCs w:val="32"/>
          <w:u w:val="single"/>
          <w:lang w:val="zh-CN"/>
        </w:rPr>
        <w:t>评估报价以总报价金额进行评分，同时竞聘人须标明每个评估项目的评估价格。竞聘人实际评估项目减少的，所支付的评估费用按实际评估的项目计算。</w:t>
      </w:r>
    </w:p>
    <w:p>
      <w:pPr>
        <w:keepNext w:val="0"/>
        <w:keepLines w:val="0"/>
        <w:pageBreakBefore w:val="0"/>
        <w:widowControl w:val="0"/>
        <w:tabs>
          <w:tab w:val="left" w:pos="1620"/>
        </w:tabs>
        <w:kinsoku/>
        <w:wordWrap/>
        <w:overflowPunct/>
        <w:topLinePunct w:val="0"/>
        <w:autoSpaceDE/>
        <w:autoSpaceDN/>
        <w:bidi w:val="0"/>
        <w:adjustRightInd/>
        <w:snapToGrid/>
        <w:spacing w:line="440" w:lineRule="exact"/>
        <w:ind w:firstLine="537" w:firstLineChars="168"/>
        <w:textAlignment w:val="auto"/>
        <w:rPr>
          <w:rFonts w:hint="eastAsia" w:ascii="仿宋_GB2312" w:hAnsi="仿宋_GB2312" w:eastAsia="仿宋_GB2312"/>
          <w:sz w:val="32"/>
          <w:szCs w:val="32"/>
          <w:lang w:val="zh-CN"/>
        </w:rPr>
      </w:pPr>
      <w:r>
        <w:rPr>
          <w:rFonts w:hint="eastAsia" w:ascii="仿宋_GB2312" w:hAnsi="仿宋_GB2312" w:eastAsia="仿宋_GB2312"/>
          <w:sz w:val="32"/>
          <w:szCs w:val="32"/>
        </w:rPr>
        <w:t>3、</w:t>
      </w:r>
      <w:r>
        <w:rPr>
          <w:rFonts w:hint="eastAsia" w:ascii="仿宋_GB2312" w:hAnsi="仿宋_GB2312" w:eastAsia="仿宋_GB2312"/>
          <w:sz w:val="32"/>
          <w:szCs w:val="32"/>
          <w:lang w:val="zh-CN"/>
        </w:rPr>
        <w:t>现场评分分数占总分的60%，最高分为60分。现场评分分为实施方案、相关工作经验和资质水平三部分，分别占现场评分总分的40%、30%和30%。即实施方案最高得分24分，相关工作经验最高得分18分，资质水平最高得分18分。具体分值情况：</w:t>
      </w:r>
    </w:p>
    <w:p>
      <w:pPr>
        <w:keepNext w:val="0"/>
        <w:keepLines w:val="0"/>
        <w:pageBreakBefore w:val="0"/>
        <w:widowControl w:val="0"/>
        <w:numPr>
          <w:ilvl w:val="0"/>
          <w:numId w:val="1"/>
        </w:numPr>
        <w:kinsoku/>
        <w:wordWrap/>
        <w:overflowPunct/>
        <w:topLinePunct w:val="0"/>
        <w:autoSpaceDE/>
        <w:autoSpaceDN/>
        <w:bidi w:val="0"/>
        <w:adjustRightInd/>
        <w:snapToGrid/>
        <w:spacing w:line="440" w:lineRule="exact"/>
        <w:textAlignment w:val="auto"/>
        <w:rPr>
          <w:rFonts w:hint="eastAsia" w:ascii="仿宋_GB2312" w:hAnsi="仿宋_GB2312" w:eastAsia="仿宋_GB2312"/>
          <w:b/>
          <w:sz w:val="32"/>
          <w:szCs w:val="32"/>
          <w:lang w:val="zh-CN"/>
        </w:rPr>
      </w:pPr>
      <w:r>
        <w:rPr>
          <w:rFonts w:hint="eastAsia" w:ascii="仿宋_GB2312" w:hAnsi="仿宋_GB2312" w:eastAsia="仿宋_GB2312"/>
          <w:b/>
          <w:sz w:val="32"/>
          <w:szCs w:val="32"/>
          <w:lang w:val="zh-CN"/>
        </w:rPr>
        <w:t>实施方案分（满分24分）</w:t>
      </w:r>
    </w:p>
    <w:p>
      <w:pPr>
        <w:keepNext w:val="0"/>
        <w:keepLines w:val="0"/>
        <w:pageBreakBefore w:val="0"/>
        <w:widowControl w:val="0"/>
        <w:numPr>
          <w:ilvl w:val="0"/>
          <w:numId w:val="2"/>
        </w:numPr>
        <w:kinsoku/>
        <w:wordWrap/>
        <w:overflowPunct/>
        <w:topLinePunct w:val="0"/>
        <w:autoSpaceDE/>
        <w:autoSpaceDN/>
        <w:bidi w:val="0"/>
        <w:adjustRightInd/>
        <w:snapToGrid/>
        <w:spacing w:line="440" w:lineRule="exact"/>
        <w:textAlignment w:val="auto"/>
        <w:rPr>
          <w:rFonts w:hint="eastAsia" w:ascii="仿宋_GB2312" w:hAnsi="仿宋_GB2312" w:eastAsia="仿宋_GB2312"/>
          <w:sz w:val="32"/>
          <w:szCs w:val="32"/>
          <w:lang w:val="zh-CN"/>
        </w:rPr>
      </w:pPr>
      <w:r>
        <w:rPr>
          <w:rFonts w:hint="eastAsia" w:ascii="仿宋_GB2312" w:hAnsi="仿宋_GB2312" w:eastAsia="仿宋_GB2312"/>
          <w:sz w:val="32"/>
          <w:szCs w:val="32"/>
          <w:lang w:val="zh-CN"/>
        </w:rPr>
        <w:t>服务方案完整、具体，架构清晰（19</w:t>
      </w:r>
      <w:r>
        <w:rPr>
          <w:rFonts w:hint="eastAsia" w:eastAsia="仿宋_GB2312"/>
          <w:sz w:val="32"/>
          <w:szCs w:val="32"/>
          <w:lang w:val="zh-CN"/>
        </w:rPr>
        <w:t>~</w:t>
      </w:r>
      <w:r>
        <w:rPr>
          <w:rFonts w:hint="eastAsia" w:ascii="仿宋_GB2312" w:hAnsi="仿宋_GB2312" w:eastAsia="仿宋_GB2312"/>
          <w:sz w:val="32"/>
          <w:szCs w:val="32"/>
          <w:lang w:val="zh-CN"/>
        </w:rPr>
        <w:t>24分）</w:t>
      </w:r>
    </w:p>
    <w:p>
      <w:pPr>
        <w:keepNext w:val="0"/>
        <w:keepLines w:val="0"/>
        <w:pageBreakBefore w:val="0"/>
        <w:widowControl w:val="0"/>
        <w:numPr>
          <w:ilvl w:val="0"/>
          <w:numId w:val="2"/>
        </w:numPr>
        <w:kinsoku/>
        <w:wordWrap/>
        <w:overflowPunct/>
        <w:topLinePunct w:val="0"/>
        <w:autoSpaceDE/>
        <w:autoSpaceDN/>
        <w:bidi w:val="0"/>
        <w:adjustRightInd/>
        <w:snapToGrid/>
        <w:spacing w:line="440" w:lineRule="exact"/>
        <w:textAlignment w:val="auto"/>
        <w:rPr>
          <w:rFonts w:hint="eastAsia" w:ascii="仿宋_GB2312" w:hAnsi="仿宋_GB2312" w:eastAsia="仿宋_GB2312"/>
          <w:sz w:val="32"/>
          <w:szCs w:val="32"/>
          <w:lang w:val="zh-CN"/>
        </w:rPr>
      </w:pPr>
      <w:r>
        <w:rPr>
          <w:rFonts w:hint="eastAsia" w:ascii="仿宋_GB2312" w:hAnsi="仿宋_GB2312" w:eastAsia="仿宋_GB2312"/>
          <w:sz w:val="32"/>
          <w:szCs w:val="32"/>
          <w:lang w:val="zh-CN"/>
        </w:rPr>
        <w:t>服务方案完整、具体，构架不够清晰（13</w:t>
      </w:r>
      <w:r>
        <w:rPr>
          <w:rFonts w:hint="eastAsia" w:eastAsia="仿宋_GB2312"/>
          <w:sz w:val="32"/>
          <w:szCs w:val="32"/>
          <w:lang w:val="zh-CN"/>
        </w:rPr>
        <w:t>~</w:t>
      </w:r>
      <w:r>
        <w:rPr>
          <w:rFonts w:hint="eastAsia" w:ascii="仿宋_GB2312" w:hAnsi="仿宋_GB2312" w:eastAsia="仿宋_GB2312"/>
          <w:sz w:val="32"/>
          <w:szCs w:val="32"/>
          <w:lang w:val="zh-CN"/>
        </w:rPr>
        <w:t>18分）</w:t>
      </w:r>
    </w:p>
    <w:p>
      <w:pPr>
        <w:keepNext w:val="0"/>
        <w:keepLines w:val="0"/>
        <w:pageBreakBefore w:val="0"/>
        <w:widowControl w:val="0"/>
        <w:numPr>
          <w:ilvl w:val="0"/>
          <w:numId w:val="2"/>
        </w:numPr>
        <w:kinsoku/>
        <w:wordWrap/>
        <w:overflowPunct/>
        <w:topLinePunct w:val="0"/>
        <w:autoSpaceDE/>
        <w:autoSpaceDN/>
        <w:bidi w:val="0"/>
        <w:adjustRightInd/>
        <w:snapToGrid/>
        <w:spacing w:line="440" w:lineRule="exact"/>
        <w:textAlignment w:val="auto"/>
        <w:rPr>
          <w:rFonts w:hint="eastAsia" w:ascii="仿宋_GB2312" w:hAnsi="仿宋_GB2312" w:eastAsia="仿宋_GB2312"/>
          <w:sz w:val="32"/>
          <w:szCs w:val="32"/>
          <w:lang w:val="zh-CN"/>
        </w:rPr>
      </w:pPr>
      <w:r>
        <w:rPr>
          <w:rFonts w:hint="eastAsia" w:ascii="仿宋_GB2312" w:hAnsi="仿宋_GB2312" w:eastAsia="仿宋_GB2312"/>
          <w:sz w:val="32"/>
          <w:szCs w:val="32"/>
          <w:lang w:val="zh-CN"/>
        </w:rPr>
        <w:t>服务方案不够完整、具体，构架不够清晰（7</w:t>
      </w:r>
      <w:r>
        <w:rPr>
          <w:rFonts w:hint="eastAsia" w:eastAsia="仿宋_GB2312"/>
          <w:sz w:val="32"/>
          <w:szCs w:val="32"/>
          <w:lang w:val="zh-CN"/>
        </w:rPr>
        <w:t>~</w:t>
      </w:r>
      <w:r>
        <w:rPr>
          <w:rFonts w:hint="eastAsia" w:ascii="仿宋_GB2312" w:hAnsi="仿宋_GB2312" w:eastAsia="仿宋_GB2312"/>
          <w:sz w:val="32"/>
          <w:szCs w:val="32"/>
          <w:lang w:val="zh-CN"/>
        </w:rPr>
        <w:t>12分）</w:t>
      </w:r>
    </w:p>
    <w:p>
      <w:pPr>
        <w:keepNext w:val="0"/>
        <w:keepLines w:val="0"/>
        <w:pageBreakBefore w:val="0"/>
        <w:widowControl w:val="0"/>
        <w:numPr>
          <w:ilvl w:val="0"/>
          <w:numId w:val="2"/>
        </w:numPr>
        <w:kinsoku/>
        <w:wordWrap/>
        <w:overflowPunct/>
        <w:topLinePunct w:val="0"/>
        <w:autoSpaceDE/>
        <w:autoSpaceDN/>
        <w:bidi w:val="0"/>
        <w:adjustRightInd/>
        <w:snapToGrid/>
        <w:spacing w:line="440" w:lineRule="exact"/>
        <w:textAlignment w:val="auto"/>
        <w:rPr>
          <w:rFonts w:hint="eastAsia" w:ascii="仿宋_GB2312" w:hAnsi="仿宋_GB2312" w:eastAsia="仿宋_GB2312"/>
          <w:sz w:val="32"/>
          <w:szCs w:val="32"/>
          <w:lang w:val="zh-CN"/>
        </w:rPr>
      </w:pPr>
      <w:r>
        <w:rPr>
          <w:rFonts w:hint="eastAsia" w:ascii="仿宋_GB2312" w:hAnsi="仿宋_GB2312" w:eastAsia="仿宋_GB2312"/>
          <w:sz w:val="32"/>
          <w:szCs w:val="32"/>
          <w:lang w:val="zh-CN"/>
        </w:rPr>
        <w:t>服务方案不完整、具体，构架不清晰（0</w:t>
      </w:r>
      <w:r>
        <w:rPr>
          <w:rFonts w:hint="eastAsia" w:eastAsia="仿宋_GB2312"/>
          <w:sz w:val="32"/>
          <w:szCs w:val="32"/>
          <w:lang w:val="zh-CN"/>
        </w:rPr>
        <w:t>~</w:t>
      </w:r>
      <w:r>
        <w:rPr>
          <w:rFonts w:hint="eastAsia" w:ascii="仿宋_GB2312" w:hAnsi="仿宋_GB2312" w:eastAsia="仿宋_GB2312"/>
          <w:sz w:val="32"/>
          <w:szCs w:val="32"/>
          <w:lang w:val="zh-CN"/>
        </w:rPr>
        <w:t>6分）</w:t>
      </w:r>
    </w:p>
    <w:p>
      <w:pPr>
        <w:keepNext w:val="0"/>
        <w:keepLines w:val="0"/>
        <w:pageBreakBefore w:val="0"/>
        <w:widowControl w:val="0"/>
        <w:numPr>
          <w:ilvl w:val="0"/>
          <w:numId w:val="1"/>
        </w:numPr>
        <w:kinsoku/>
        <w:wordWrap/>
        <w:overflowPunct/>
        <w:topLinePunct w:val="0"/>
        <w:autoSpaceDE/>
        <w:autoSpaceDN/>
        <w:bidi w:val="0"/>
        <w:adjustRightInd/>
        <w:snapToGrid/>
        <w:spacing w:line="440" w:lineRule="exact"/>
        <w:textAlignment w:val="auto"/>
        <w:rPr>
          <w:rFonts w:hint="eastAsia" w:ascii="仿宋_GB2312" w:hAnsi="仿宋_GB2312" w:eastAsia="仿宋_GB2312"/>
          <w:b/>
          <w:sz w:val="32"/>
          <w:szCs w:val="32"/>
          <w:lang w:val="zh-CN"/>
        </w:rPr>
      </w:pPr>
      <w:r>
        <w:rPr>
          <w:rFonts w:hint="eastAsia" w:ascii="仿宋_GB2312" w:hAnsi="仿宋_GB2312" w:eastAsia="仿宋_GB2312"/>
          <w:b/>
          <w:sz w:val="32"/>
          <w:szCs w:val="32"/>
          <w:lang w:val="zh-CN"/>
        </w:rPr>
        <w:t>相关工作经验分（满分18分）</w:t>
      </w:r>
    </w:p>
    <w:p>
      <w:pPr>
        <w:keepNext w:val="0"/>
        <w:keepLines w:val="0"/>
        <w:pageBreakBefore w:val="0"/>
        <w:widowControl w:val="0"/>
        <w:kinsoku/>
        <w:wordWrap/>
        <w:overflowPunct/>
        <w:topLinePunct w:val="0"/>
        <w:autoSpaceDE/>
        <w:autoSpaceDN/>
        <w:bidi w:val="0"/>
        <w:adjustRightInd/>
        <w:snapToGrid/>
        <w:spacing w:line="440" w:lineRule="exact"/>
        <w:ind w:firstLine="672" w:firstLineChars="210"/>
        <w:textAlignment w:val="auto"/>
        <w:rPr>
          <w:rFonts w:hint="eastAsia" w:ascii="仿宋_GB2312" w:hAnsi="仿宋_GB2312" w:eastAsia="仿宋_GB2312"/>
          <w:color w:val="FF0000"/>
          <w:sz w:val="32"/>
          <w:szCs w:val="32"/>
          <w:lang w:val="zh-CN"/>
        </w:rPr>
      </w:pPr>
      <w:r>
        <w:rPr>
          <w:rFonts w:hint="eastAsia" w:ascii="仿宋_GB2312" w:hAnsi="仿宋_GB2312" w:eastAsia="仿宋_GB2312"/>
          <w:color w:val="FF0000"/>
          <w:sz w:val="32"/>
          <w:szCs w:val="32"/>
          <w:lang w:val="zh-CN"/>
        </w:rPr>
        <w:t>近</w:t>
      </w:r>
      <w:r>
        <w:rPr>
          <w:rFonts w:hint="eastAsia" w:ascii="仿宋_GB2312" w:hAnsi="仿宋_GB2312" w:eastAsia="仿宋_GB2312"/>
          <w:color w:val="FF0000"/>
          <w:sz w:val="32"/>
          <w:szCs w:val="32"/>
          <w:u w:val="single"/>
          <w:lang w:val="en-US" w:eastAsia="zh-CN"/>
        </w:rPr>
        <w:t>5</w:t>
      </w:r>
      <w:r>
        <w:rPr>
          <w:rFonts w:hint="eastAsia" w:ascii="仿宋_GB2312" w:hAnsi="仿宋_GB2312" w:eastAsia="仿宋_GB2312"/>
          <w:color w:val="FF0000"/>
          <w:sz w:val="32"/>
          <w:szCs w:val="32"/>
          <w:lang w:val="zh-CN"/>
        </w:rPr>
        <w:t>年（20</w:t>
      </w:r>
      <w:r>
        <w:rPr>
          <w:rFonts w:hint="eastAsia" w:ascii="仿宋_GB2312" w:hAnsi="仿宋_GB2312" w:eastAsia="仿宋_GB2312"/>
          <w:color w:val="FF0000"/>
          <w:sz w:val="32"/>
          <w:szCs w:val="32"/>
          <w:u w:val="single"/>
          <w:lang w:val="en-US" w:eastAsia="zh-CN"/>
        </w:rPr>
        <w:t>15</w:t>
      </w:r>
      <w:r>
        <w:rPr>
          <w:rFonts w:hint="eastAsia" w:ascii="仿宋_GB2312" w:hAnsi="仿宋_GB2312" w:eastAsia="仿宋_GB2312"/>
          <w:color w:val="FF0000"/>
          <w:sz w:val="32"/>
          <w:szCs w:val="32"/>
          <w:u w:val="single"/>
        </w:rPr>
        <w:t xml:space="preserve"> </w:t>
      </w:r>
      <w:r>
        <w:rPr>
          <w:rFonts w:hint="eastAsia" w:ascii="仿宋_GB2312" w:hAnsi="仿宋_GB2312" w:eastAsia="仿宋_GB2312"/>
          <w:color w:val="FF0000"/>
          <w:sz w:val="32"/>
          <w:szCs w:val="32"/>
          <w:lang w:val="zh-CN"/>
        </w:rPr>
        <w:t>-20</w:t>
      </w:r>
      <w:r>
        <w:rPr>
          <w:rFonts w:hint="eastAsia" w:ascii="仿宋_GB2312" w:hAnsi="仿宋_GB2312" w:eastAsia="仿宋_GB2312"/>
          <w:color w:val="FF0000"/>
          <w:sz w:val="32"/>
          <w:szCs w:val="32"/>
          <w:u w:val="single"/>
          <w:lang w:val="en-US" w:eastAsia="zh-CN"/>
        </w:rPr>
        <w:t>19</w:t>
      </w:r>
      <w:r>
        <w:rPr>
          <w:rFonts w:hint="eastAsia" w:ascii="仿宋_GB2312" w:hAnsi="仿宋_GB2312" w:eastAsia="仿宋_GB2312"/>
          <w:color w:val="FF0000"/>
          <w:sz w:val="32"/>
          <w:szCs w:val="32"/>
          <w:lang w:val="zh-CN"/>
        </w:rPr>
        <w:t>年）不足5个类似项目合同的得5分，每增加一个项目加1分，最高不超过18分。竞聘人需提供相关类似项目合同复印件。</w:t>
      </w:r>
    </w:p>
    <w:p>
      <w:pPr>
        <w:keepNext w:val="0"/>
        <w:keepLines w:val="0"/>
        <w:pageBreakBefore w:val="0"/>
        <w:widowControl w:val="0"/>
        <w:numPr>
          <w:ilvl w:val="0"/>
          <w:numId w:val="1"/>
        </w:numPr>
        <w:kinsoku/>
        <w:wordWrap/>
        <w:overflowPunct/>
        <w:topLinePunct w:val="0"/>
        <w:autoSpaceDE/>
        <w:autoSpaceDN/>
        <w:bidi w:val="0"/>
        <w:adjustRightInd/>
        <w:snapToGrid/>
        <w:spacing w:line="440" w:lineRule="exact"/>
        <w:textAlignment w:val="auto"/>
        <w:rPr>
          <w:rFonts w:hint="eastAsia" w:ascii="仿宋_GB2312" w:hAnsi="仿宋_GB2312" w:eastAsia="仿宋_GB2312"/>
          <w:b/>
          <w:sz w:val="32"/>
          <w:szCs w:val="32"/>
          <w:lang w:val="zh-CN"/>
        </w:rPr>
      </w:pPr>
      <w:r>
        <w:rPr>
          <w:rFonts w:hint="eastAsia" w:ascii="仿宋_GB2312" w:hAnsi="仿宋_GB2312" w:eastAsia="仿宋_GB2312"/>
          <w:b/>
          <w:sz w:val="32"/>
          <w:szCs w:val="32"/>
          <w:lang w:val="zh-CN"/>
        </w:rPr>
        <w:t>资质水平分（满分18分）</w:t>
      </w:r>
    </w:p>
    <w:p>
      <w:pPr>
        <w:keepNext w:val="0"/>
        <w:keepLines w:val="0"/>
        <w:pageBreakBefore w:val="0"/>
        <w:widowControl w:val="0"/>
        <w:numPr>
          <w:ilvl w:val="0"/>
          <w:numId w:val="3"/>
        </w:numPr>
        <w:tabs>
          <w:tab w:val="left" w:pos="1260"/>
          <w:tab w:val="clear" w:pos="1152"/>
        </w:tabs>
        <w:kinsoku/>
        <w:wordWrap/>
        <w:overflowPunct/>
        <w:topLinePunct w:val="0"/>
        <w:autoSpaceDE/>
        <w:autoSpaceDN/>
        <w:bidi w:val="0"/>
        <w:adjustRightInd/>
        <w:snapToGrid/>
        <w:spacing w:line="440" w:lineRule="exact"/>
        <w:ind w:left="0" w:firstLine="672"/>
        <w:textAlignment w:val="auto"/>
        <w:rPr>
          <w:rFonts w:hint="eastAsia" w:ascii="仿宋_GB2312" w:hAnsi="仿宋_GB2312" w:eastAsia="仿宋_GB2312"/>
          <w:color w:val="FF0000"/>
          <w:sz w:val="32"/>
          <w:szCs w:val="32"/>
          <w:lang w:val="zh-CN"/>
        </w:rPr>
      </w:pPr>
      <w:r>
        <w:rPr>
          <w:rFonts w:hint="eastAsia" w:ascii="仿宋_GB2312" w:hAnsi="仿宋_GB2312" w:eastAsia="仿宋_GB2312"/>
          <w:color w:val="FF0000"/>
          <w:sz w:val="32"/>
          <w:szCs w:val="32"/>
          <w:lang w:val="zh-CN"/>
        </w:rPr>
        <w:t>注册资产评估师总人数为10人的，得6分，每增加一人加1分，最高不超过10分。不足10人的不得分（需提供相关证明文件的复印件并加盖公章）。</w:t>
      </w:r>
    </w:p>
    <w:p>
      <w:pPr>
        <w:keepNext w:val="0"/>
        <w:keepLines w:val="0"/>
        <w:pageBreakBefore w:val="0"/>
        <w:widowControl w:val="0"/>
        <w:numPr>
          <w:ilvl w:val="0"/>
          <w:numId w:val="3"/>
        </w:numPr>
        <w:tabs>
          <w:tab w:val="left" w:pos="1260"/>
          <w:tab w:val="clear" w:pos="1152"/>
        </w:tabs>
        <w:kinsoku/>
        <w:wordWrap/>
        <w:overflowPunct/>
        <w:topLinePunct w:val="0"/>
        <w:autoSpaceDE/>
        <w:autoSpaceDN/>
        <w:bidi w:val="0"/>
        <w:adjustRightInd/>
        <w:snapToGrid/>
        <w:spacing w:line="440" w:lineRule="exact"/>
        <w:ind w:left="0" w:firstLine="672"/>
        <w:textAlignment w:val="auto"/>
        <w:rPr>
          <w:rFonts w:hint="eastAsia" w:ascii="仿宋_GB2312" w:hAnsi="仿宋_GB2312" w:eastAsia="仿宋_GB2312"/>
          <w:color w:val="FF0000"/>
          <w:sz w:val="32"/>
          <w:szCs w:val="32"/>
          <w:lang w:val="zh-CN"/>
        </w:rPr>
      </w:pPr>
      <w:r>
        <w:rPr>
          <w:rFonts w:hint="eastAsia" w:ascii="仿宋_GB2312" w:hAnsi="仿宋_GB2312" w:eastAsia="仿宋_GB2312" w:cs="仿宋_GB2312"/>
          <w:sz w:val="32"/>
          <w:szCs w:val="32"/>
        </w:rPr>
        <w:t>评估机构资质水平文件（</w:t>
      </w:r>
      <w:r>
        <w:rPr>
          <w:rFonts w:hint="eastAsia" w:ascii="仿宋_GB2312" w:hAnsi="仿宋_GB2312" w:eastAsia="仿宋_GB2312"/>
          <w:color w:val="FF0000"/>
          <w:sz w:val="32"/>
          <w:szCs w:val="32"/>
          <w:lang w:val="zh-CN"/>
        </w:rPr>
        <w:t>提供相关证明文件的复印件并加盖公章</w:t>
      </w:r>
      <w:r>
        <w:rPr>
          <w:rFonts w:hint="eastAsia" w:ascii="仿宋_GB2312" w:hAnsi="仿宋_GB2312" w:eastAsia="仿宋_GB2312" w:cs="仿宋_GB2312"/>
          <w:sz w:val="32"/>
          <w:szCs w:val="32"/>
        </w:rPr>
        <w:t>）</w:t>
      </w:r>
    </w:p>
    <w:p>
      <w:pPr>
        <w:keepNext w:val="0"/>
        <w:keepLines w:val="0"/>
        <w:pageBreakBefore w:val="0"/>
        <w:widowControl w:val="0"/>
        <w:numPr>
          <w:ilvl w:val="0"/>
          <w:numId w:val="3"/>
        </w:numPr>
        <w:tabs>
          <w:tab w:val="left" w:pos="1260"/>
          <w:tab w:val="clear" w:pos="1152"/>
        </w:tabs>
        <w:kinsoku/>
        <w:wordWrap/>
        <w:overflowPunct/>
        <w:topLinePunct w:val="0"/>
        <w:autoSpaceDE/>
        <w:autoSpaceDN/>
        <w:bidi w:val="0"/>
        <w:adjustRightInd/>
        <w:snapToGrid/>
        <w:spacing w:line="440" w:lineRule="exact"/>
        <w:ind w:left="0" w:firstLine="672"/>
        <w:textAlignment w:val="auto"/>
        <w:rPr>
          <w:rFonts w:hint="eastAsia" w:ascii="仿宋_GB2312" w:hAnsi="仿宋_GB2312" w:eastAsia="仿宋_GB2312"/>
          <w:sz w:val="32"/>
          <w:szCs w:val="32"/>
          <w:lang w:val="zh-CN"/>
        </w:rPr>
      </w:pPr>
      <w:r>
        <w:rPr>
          <w:rFonts w:hint="eastAsia" w:ascii="仿宋_GB2312" w:hAnsi="仿宋_GB2312" w:eastAsia="仿宋_GB2312"/>
          <w:sz w:val="32"/>
          <w:szCs w:val="32"/>
          <w:lang w:val="zh-CN"/>
        </w:rPr>
        <w:t>企业信誉及荣誉：近</w:t>
      </w:r>
      <w:r>
        <w:rPr>
          <w:rFonts w:hint="eastAsia" w:ascii="仿宋_GB2312" w:hAnsi="仿宋_GB2312" w:eastAsia="仿宋_GB2312"/>
          <w:sz w:val="32"/>
          <w:szCs w:val="32"/>
          <w:u w:val="single"/>
          <w:lang w:val="en-US" w:eastAsia="zh-CN"/>
        </w:rPr>
        <w:t>5</w:t>
      </w:r>
      <w:r>
        <w:rPr>
          <w:rFonts w:hint="eastAsia" w:ascii="仿宋_GB2312" w:hAnsi="仿宋_GB2312" w:eastAsia="仿宋_GB2312"/>
          <w:sz w:val="32"/>
          <w:szCs w:val="32"/>
          <w:lang w:val="zh-CN"/>
        </w:rPr>
        <w:t>年（20</w:t>
      </w:r>
      <w:r>
        <w:rPr>
          <w:rFonts w:hint="eastAsia" w:ascii="仿宋_GB2312" w:hAnsi="仿宋_GB2312" w:eastAsia="仿宋_GB2312"/>
          <w:sz w:val="32"/>
          <w:szCs w:val="32"/>
          <w:u w:val="single"/>
          <w:lang w:val="en-US" w:eastAsia="zh-CN"/>
        </w:rPr>
        <w:t>15</w:t>
      </w:r>
      <w:r>
        <w:rPr>
          <w:rFonts w:hint="eastAsia" w:ascii="仿宋_GB2312" w:hAnsi="仿宋_GB2312" w:eastAsia="仿宋_GB2312"/>
          <w:sz w:val="32"/>
          <w:szCs w:val="32"/>
          <w:lang w:val="zh-CN"/>
        </w:rPr>
        <w:t>-20</w:t>
      </w:r>
      <w:r>
        <w:rPr>
          <w:rFonts w:hint="eastAsia" w:ascii="仿宋_GB2312" w:hAnsi="仿宋_GB2312" w:eastAsia="仿宋_GB2312"/>
          <w:sz w:val="32"/>
          <w:szCs w:val="32"/>
          <w:u w:val="single"/>
          <w:lang w:val="en-US" w:eastAsia="zh-CN"/>
        </w:rPr>
        <w:t>19</w:t>
      </w:r>
      <w:r>
        <w:rPr>
          <w:rFonts w:hint="eastAsia" w:ascii="仿宋_GB2312" w:hAnsi="仿宋_GB2312" w:eastAsia="仿宋_GB2312"/>
          <w:sz w:val="32"/>
          <w:szCs w:val="32"/>
          <w:lang w:val="zh-CN"/>
        </w:rPr>
        <w:t>年）企业每获得一次市级以上（含市级）行业行政主管部门颁发的奖励</w:t>
      </w:r>
      <w:r>
        <w:rPr>
          <w:rFonts w:hint="eastAsia" w:ascii="仿宋_GB2312" w:hAnsi="仿宋_GB2312" w:eastAsia="仿宋_GB2312"/>
          <w:color w:val="FF0000"/>
          <w:sz w:val="32"/>
          <w:szCs w:val="32"/>
          <w:lang w:val="zh-CN"/>
        </w:rPr>
        <w:t>（不含企业所属评估人员所得的奖励）</w:t>
      </w:r>
      <w:r>
        <w:rPr>
          <w:rFonts w:hint="eastAsia" w:ascii="仿宋_GB2312" w:hAnsi="仿宋_GB2312" w:eastAsia="仿宋_GB2312"/>
          <w:sz w:val="32"/>
          <w:szCs w:val="32"/>
          <w:lang w:val="zh-CN"/>
        </w:rPr>
        <w:t>得2分，满分8分</w:t>
      </w:r>
      <w:r>
        <w:rPr>
          <w:rFonts w:hint="eastAsia" w:ascii="仿宋_GB2312" w:hAnsi="仿宋_GB2312" w:eastAsia="仿宋_GB2312"/>
          <w:color w:val="FF0000"/>
          <w:sz w:val="32"/>
          <w:szCs w:val="32"/>
          <w:lang w:val="zh-CN"/>
        </w:rPr>
        <w:t>（需提供相关证明文件的复印件并加盖公章）</w:t>
      </w:r>
      <w:r>
        <w:rPr>
          <w:rFonts w:hint="eastAsia" w:ascii="仿宋_GB2312" w:hAnsi="仿宋_GB2312" w:eastAsia="仿宋_GB2312"/>
          <w:sz w:val="32"/>
          <w:szCs w:val="32"/>
          <w:lang w:val="zh-CN"/>
        </w:rPr>
        <w:t>。</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left"/>
        <w:textAlignment w:val="auto"/>
        <w:rPr>
          <w:rFonts w:hint="eastAsia" w:ascii="仿宋_GB2312" w:hAnsi="仿宋_GB2312" w:eastAsia="仿宋_GB2312"/>
          <w:sz w:val="32"/>
          <w:szCs w:val="32"/>
          <w:lang w:val="zh-CN"/>
        </w:rPr>
      </w:pPr>
      <w:r>
        <w:rPr>
          <w:rFonts w:hint="eastAsia" w:ascii="仿宋_GB2312" w:hAnsi="仿宋_GB2312" w:eastAsia="仿宋_GB2312"/>
          <w:sz w:val="32"/>
          <w:szCs w:val="32"/>
          <w:lang w:val="zh-CN"/>
        </w:rPr>
        <w:t>现场评分=实施方案得分+相关工作经验得分+资质水平得分</w:t>
      </w:r>
    </w:p>
    <w:p>
      <w:pPr>
        <w:keepNext w:val="0"/>
        <w:keepLines w:val="0"/>
        <w:pageBreakBefore w:val="0"/>
        <w:widowControl w:val="0"/>
        <w:tabs>
          <w:tab w:val="left" w:pos="1620"/>
        </w:tabs>
        <w:kinsoku/>
        <w:wordWrap/>
        <w:overflowPunct/>
        <w:topLinePunct w:val="0"/>
        <w:autoSpaceDE/>
        <w:autoSpaceDN/>
        <w:bidi w:val="0"/>
        <w:adjustRightInd/>
        <w:snapToGrid/>
        <w:spacing w:line="440" w:lineRule="exact"/>
        <w:ind w:firstLine="537" w:firstLineChars="168"/>
        <w:textAlignment w:val="auto"/>
        <w:rPr>
          <w:rFonts w:hint="eastAsia" w:ascii="仿宋_GB2312" w:hAnsi="仿宋_GB2312" w:eastAsia="仿宋_GB2312"/>
          <w:sz w:val="32"/>
          <w:szCs w:val="32"/>
          <w:lang w:val="zh-CN"/>
        </w:rPr>
      </w:pPr>
      <w:r>
        <w:rPr>
          <w:rFonts w:hint="eastAsia" w:ascii="仿宋_GB2312" w:hAnsi="仿宋_GB2312" w:eastAsia="仿宋_GB2312"/>
          <w:sz w:val="32"/>
          <w:szCs w:val="32"/>
          <w:lang w:val="zh-CN"/>
        </w:rPr>
        <w:t>4、现场评分由评审小组成员打分，采取去掉一个最高分和一个最低分，计算其余评分的平均分得出现场评分。</w:t>
      </w:r>
    </w:p>
    <w:p>
      <w:pPr>
        <w:keepNext w:val="0"/>
        <w:keepLines w:val="0"/>
        <w:pageBreakBefore w:val="0"/>
        <w:widowControl w:val="0"/>
        <w:tabs>
          <w:tab w:val="left" w:pos="1620"/>
        </w:tabs>
        <w:kinsoku/>
        <w:wordWrap/>
        <w:overflowPunct/>
        <w:topLinePunct w:val="0"/>
        <w:autoSpaceDE/>
        <w:autoSpaceDN/>
        <w:bidi w:val="0"/>
        <w:adjustRightInd/>
        <w:snapToGrid/>
        <w:spacing w:line="440" w:lineRule="exact"/>
        <w:ind w:firstLine="537" w:firstLineChars="168"/>
        <w:textAlignment w:val="auto"/>
        <w:rPr>
          <w:rFonts w:hint="eastAsia" w:ascii="仿宋_GB2312" w:hAnsi="仿宋_GB2312" w:eastAsia="仿宋_GB2312"/>
          <w:sz w:val="32"/>
          <w:szCs w:val="32"/>
          <w:lang w:val="zh-CN"/>
        </w:rPr>
      </w:pPr>
      <w:r>
        <w:rPr>
          <w:rFonts w:hint="eastAsia" w:ascii="仿宋_GB2312" w:hAnsi="仿宋_GB2312" w:eastAsia="仿宋_GB2312"/>
          <w:sz w:val="32"/>
          <w:szCs w:val="32"/>
          <w:lang w:val="zh-CN"/>
        </w:rPr>
        <w:t>5、竞聘人总得分=报价分数+现场评分分数。</w:t>
      </w:r>
    </w:p>
    <w:p>
      <w:pPr>
        <w:keepNext w:val="0"/>
        <w:keepLines w:val="0"/>
        <w:pageBreakBefore w:val="0"/>
        <w:widowControl w:val="0"/>
        <w:tabs>
          <w:tab w:val="left" w:pos="1800"/>
        </w:tabs>
        <w:kinsoku/>
        <w:wordWrap/>
        <w:overflowPunct/>
        <w:topLinePunct w:val="0"/>
        <w:autoSpaceDE/>
        <w:autoSpaceDN/>
        <w:bidi w:val="0"/>
        <w:adjustRightInd/>
        <w:snapToGrid/>
        <w:spacing w:line="440" w:lineRule="exact"/>
        <w:ind w:left="644"/>
        <w:textAlignment w:val="auto"/>
        <w:rPr>
          <w:rFonts w:hint="eastAsia" w:ascii="仿宋_GB2312" w:hAnsi="仿宋_GB2312" w:eastAsia="仿宋_GB2312"/>
          <w:b/>
          <w:sz w:val="32"/>
          <w:szCs w:val="32"/>
          <w:lang w:val="zh-CN"/>
        </w:rPr>
      </w:pPr>
      <w:r>
        <w:rPr>
          <w:rFonts w:hint="eastAsia" w:ascii="仿宋_GB2312" w:hAnsi="仿宋_GB2312" w:eastAsia="仿宋_GB2312"/>
          <w:b/>
          <w:sz w:val="32"/>
          <w:szCs w:val="32"/>
          <w:lang w:val="zh-CN"/>
        </w:rPr>
        <w:t>二、评审规定</w:t>
      </w:r>
    </w:p>
    <w:p>
      <w:pPr>
        <w:keepNext w:val="0"/>
        <w:keepLines w:val="0"/>
        <w:pageBreakBefore w:val="0"/>
        <w:widowControl w:val="0"/>
        <w:tabs>
          <w:tab w:val="left" w:pos="1260"/>
        </w:tabs>
        <w:kinsoku/>
        <w:wordWrap/>
        <w:overflowPunct/>
        <w:topLinePunct w:val="0"/>
        <w:autoSpaceDE/>
        <w:autoSpaceDN/>
        <w:bidi w:val="0"/>
        <w:adjustRightInd/>
        <w:snapToGrid/>
        <w:spacing w:line="44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1.评审采用综合评分法，由评审小组成员根据竞聘人总得分确定中选人。</w:t>
      </w:r>
    </w:p>
    <w:p>
      <w:pPr>
        <w:keepNext w:val="0"/>
        <w:keepLines w:val="0"/>
        <w:pageBreakBefore w:val="0"/>
        <w:widowControl w:val="0"/>
        <w:tabs>
          <w:tab w:val="left" w:pos="1260"/>
        </w:tabs>
        <w:kinsoku/>
        <w:wordWrap/>
        <w:overflowPunct/>
        <w:topLinePunct w:val="0"/>
        <w:autoSpaceDE/>
        <w:autoSpaceDN/>
        <w:bidi w:val="0"/>
        <w:adjustRightInd/>
        <w:snapToGrid/>
        <w:spacing w:line="440" w:lineRule="exact"/>
        <w:ind w:left="643"/>
        <w:textAlignment w:val="auto"/>
        <w:rPr>
          <w:rFonts w:hint="eastAsia" w:ascii="仿宋_GB2312" w:eastAsia="仿宋_GB2312"/>
          <w:sz w:val="32"/>
          <w:szCs w:val="32"/>
        </w:rPr>
      </w:pPr>
      <w:r>
        <w:rPr>
          <w:rFonts w:hint="eastAsia" w:ascii="仿宋_GB2312" w:eastAsia="仿宋_GB2312"/>
          <w:sz w:val="32"/>
          <w:szCs w:val="32"/>
        </w:rPr>
        <w:t>2.以下竞聘文件为无效竞聘文件：</w:t>
      </w:r>
    </w:p>
    <w:p>
      <w:pPr>
        <w:keepNext w:val="0"/>
        <w:keepLines w:val="0"/>
        <w:pageBreakBefore w:val="0"/>
        <w:widowControl w:val="0"/>
        <w:numPr>
          <w:ilvl w:val="0"/>
          <w:numId w:val="4"/>
        </w:numPr>
        <w:tabs>
          <w:tab w:val="left" w:pos="1440"/>
          <w:tab w:val="clear" w:pos="1725"/>
        </w:tabs>
        <w:kinsoku/>
        <w:wordWrap/>
        <w:overflowPunct/>
        <w:topLinePunct w:val="0"/>
        <w:autoSpaceDE/>
        <w:autoSpaceDN/>
        <w:bidi w:val="0"/>
        <w:adjustRightInd/>
        <w:snapToGrid/>
        <w:spacing w:line="440" w:lineRule="exact"/>
        <w:ind w:left="0" w:firstLine="645"/>
        <w:textAlignment w:val="auto"/>
        <w:rPr>
          <w:rFonts w:hint="eastAsia" w:ascii="仿宋_GB2312" w:eastAsia="仿宋_GB2312"/>
          <w:sz w:val="32"/>
          <w:szCs w:val="32"/>
        </w:rPr>
      </w:pPr>
      <w:r>
        <w:rPr>
          <w:rFonts w:hint="eastAsia" w:ascii="仿宋_GB2312" w:eastAsia="仿宋_GB2312"/>
          <w:sz w:val="32"/>
          <w:szCs w:val="32"/>
        </w:rPr>
        <w:t>提供的有关资格证明文件不真实的；</w:t>
      </w:r>
    </w:p>
    <w:p>
      <w:pPr>
        <w:keepNext w:val="0"/>
        <w:keepLines w:val="0"/>
        <w:pageBreakBefore w:val="0"/>
        <w:widowControl w:val="0"/>
        <w:numPr>
          <w:ilvl w:val="0"/>
          <w:numId w:val="4"/>
        </w:numPr>
        <w:tabs>
          <w:tab w:val="left" w:pos="1440"/>
          <w:tab w:val="clear" w:pos="1725"/>
        </w:tabs>
        <w:kinsoku/>
        <w:wordWrap/>
        <w:overflowPunct/>
        <w:topLinePunct w:val="0"/>
        <w:autoSpaceDE/>
        <w:autoSpaceDN/>
        <w:bidi w:val="0"/>
        <w:adjustRightInd/>
        <w:snapToGrid/>
        <w:spacing w:line="440" w:lineRule="exact"/>
        <w:ind w:left="0" w:firstLine="645"/>
        <w:textAlignment w:val="auto"/>
        <w:rPr>
          <w:rFonts w:hint="eastAsia" w:ascii="仿宋_GB2312" w:eastAsia="仿宋_GB2312"/>
          <w:sz w:val="32"/>
          <w:szCs w:val="32"/>
        </w:rPr>
      </w:pPr>
      <w:r>
        <w:rPr>
          <w:rFonts w:hint="eastAsia" w:ascii="仿宋_GB2312" w:eastAsia="仿宋_GB2312"/>
          <w:sz w:val="32"/>
          <w:szCs w:val="32"/>
        </w:rPr>
        <w:t>对选聘文件的实质性要求和条件未做出全面响应的；</w:t>
      </w:r>
    </w:p>
    <w:p>
      <w:pPr>
        <w:keepNext w:val="0"/>
        <w:keepLines w:val="0"/>
        <w:pageBreakBefore w:val="0"/>
        <w:widowControl w:val="0"/>
        <w:numPr>
          <w:ilvl w:val="0"/>
          <w:numId w:val="4"/>
        </w:numPr>
        <w:tabs>
          <w:tab w:val="left" w:pos="1440"/>
          <w:tab w:val="clear" w:pos="1725"/>
        </w:tabs>
        <w:kinsoku/>
        <w:wordWrap/>
        <w:overflowPunct/>
        <w:topLinePunct w:val="0"/>
        <w:autoSpaceDE/>
        <w:autoSpaceDN/>
        <w:bidi w:val="0"/>
        <w:adjustRightInd/>
        <w:snapToGrid/>
        <w:spacing w:line="440" w:lineRule="exact"/>
        <w:ind w:left="0" w:firstLine="645"/>
        <w:textAlignment w:val="auto"/>
        <w:rPr>
          <w:rFonts w:hint="eastAsia" w:ascii="仿宋_GB2312" w:eastAsia="仿宋_GB2312"/>
          <w:sz w:val="32"/>
          <w:szCs w:val="32"/>
        </w:rPr>
      </w:pPr>
      <w:r>
        <w:rPr>
          <w:rFonts w:hint="eastAsia" w:ascii="仿宋_GB2312" w:eastAsia="仿宋_GB2312"/>
          <w:sz w:val="32"/>
          <w:szCs w:val="32"/>
        </w:rPr>
        <w:t>未按要求密封或未加盖单位公章的；</w:t>
      </w:r>
    </w:p>
    <w:p>
      <w:pPr>
        <w:keepNext w:val="0"/>
        <w:keepLines w:val="0"/>
        <w:pageBreakBefore w:val="0"/>
        <w:widowControl w:val="0"/>
        <w:numPr>
          <w:ilvl w:val="0"/>
          <w:numId w:val="4"/>
        </w:numPr>
        <w:tabs>
          <w:tab w:val="left" w:pos="1440"/>
          <w:tab w:val="clear" w:pos="1725"/>
        </w:tabs>
        <w:kinsoku/>
        <w:wordWrap/>
        <w:overflowPunct/>
        <w:topLinePunct w:val="0"/>
        <w:autoSpaceDE/>
        <w:autoSpaceDN/>
        <w:bidi w:val="0"/>
        <w:adjustRightInd/>
        <w:snapToGrid/>
        <w:spacing w:line="440" w:lineRule="exact"/>
        <w:ind w:left="0" w:firstLine="645"/>
        <w:textAlignment w:val="auto"/>
        <w:rPr>
          <w:rFonts w:hint="eastAsia" w:ascii="仿宋_GB2312" w:eastAsia="仿宋_GB2312"/>
          <w:sz w:val="32"/>
          <w:szCs w:val="32"/>
        </w:rPr>
      </w:pPr>
      <w:r>
        <w:rPr>
          <w:rFonts w:hint="eastAsia" w:ascii="仿宋_GB2312" w:eastAsia="仿宋_GB2312"/>
          <w:sz w:val="32"/>
          <w:szCs w:val="32"/>
        </w:rPr>
        <w:t>总机构和所属分支机构同时投同一项目的；</w:t>
      </w:r>
    </w:p>
    <w:p>
      <w:pPr>
        <w:keepNext w:val="0"/>
        <w:keepLines w:val="0"/>
        <w:pageBreakBefore w:val="0"/>
        <w:widowControl w:val="0"/>
        <w:numPr>
          <w:ilvl w:val="0"/>
          <w:numId w:val="4"/>
        </w:numPr>
        <w:tabs>
          <w:tab w:val="left" w:pos="1440"/>
          <w:tab w:val="clear" w:pos="1725"/>
        </w:tabs>
        <w:kinsoku/>
        <w:wordWrap/>
        <w:overflowPunct/>
        <w:topLinePunct w:val="0"/>
        <w:autoSpaceDE/>
        <w:autoSpaceDN/>
        <w:bidi w:val="0"/>
        <w:adjustRightInd/>
        <w:snapToGrid/>
        <w:spacing w:line="440" w:lineRule="exact"/>
        <w:ind w:left="0" w:firstLine="645"/>
        <w:textAlignment w:val="auto"/>
        <w:rPr>
          <w:rFonts w:hint="eastAsia" w:ascii="仿宋_GB2312" w:eastAsia="仿宋_GB2312"/>
          <w:sz w:val="32"/>
          <w:szCs w:val="32"/>
        </w:rPr>
      </w:pPr>
      <w:r>
        <w:rPr>
          <w:rFonts w:hint="eastAsia" w:ascii="仿宋_GB2312" w:eastAsia="仿宋_GB2312"/>
          <w:sz w:val="32"/>
          <w:szCs w:val="32"/>
        </w:rPr>
        <w:t>未按规定截止时间前递交的竞聘申请书的</w:t>
      </w:r>
      <w:r>
        <w:rPr>
          <w:rFonts w:hint="eastAsia" w:ascii="仿宋_GB2312" w:eastAsia="仿宋_GB2312"/>
          <w:sz w:val="32"/>
          <w:szCs w:val="32"/>
          <w:lang w:eastAsia="zh-CN"/>
        </w:rPr>
        <w:t>；</w:t>
      </w:r>
      <w:bookmarkStart w:id="0" w:name="_GoBack"/>
      <w:bookmarkEnd w:id="0"/>
    </w:p>
    <w:p>
      <w:pPr>
        <w:keepNext w:val="0"/>
        <w:keepLines w:val="0"/>
        <w:pageBreakBefore w:val="0"/>
        <w:widowControl w:val="0"/>
        <w:numPr>
          <w:ilvl w:val="0"/>
          <w:numId w:val="4"/>
        </w:numPr>
        <w:tabs>
          <w:tab w:val="left" w:pos="1440"/>
          <w:tab w:val="clear" w:pos="1725"/>
        </w:tabs>
        <w:kinsoku/>
        <w:wordWrap/>
        <w:overflowPunct/>
        <w:topLinePunct w:val="0"/>
        <w:autoSpaceDE/>
        <w:autoSpaceDN/>
        <w:bidi w:val="0"/>
        <w:adjustRightInd/>
        <w:snapToGrid/>
        <w:spacing w:line="440" w:lineRule="exact"/>
        <w:ind w:left="0" w:firstLine="645"/>
        <w:textAlignment w:val="auto"/>
        <w:rPr>
          <w:rFonts w:hint="eastAsia" w:ascii="仿宋_GB2312" w:eastAsia="仿宋_GB2312"/>
          <w:sz w:val="32"/>
          <w:szCs w:val="32"/>
        </w:rPr>
      </w:pPr>
      <w:r>
        <w:rPr>
          <w:rFonts w:hint="eastAsia" w:ascii="仿宋_GB2312" w:eastAsia="仿宋_GB2312"/>
          <w:sz w:val="32"/>
          <w:szCs w:val="32"/>
        </w:rPr>
        <w:t>违反其他法律、法规或有关规定的。</w:t>
      </w:r>
    </w:p>
    <w:p>
      <w:pPr>
        <w:keepNext w:val="0"/>
        <w:keepLines w:val="0"/>
        <w:pageBreakBefore w:val="0"/>
        <w:widowControl w:val="0"/>
        <w:tabs>
          <w:tab w:val="left" w:pos="1440"/>
        </w:tabs>
        <w:kinsoku/>
        <w:wordWrap/>
        <w:overflowPunct/>
        <w:topLinePunct w:val="0"/>
        <w:autoSpaceDE/>
        <w:autoSpaceDN/>
        <w:bidi w:val="0"/>
        <w:adjustRightInd/>
        <w:snapToGrid/>
        <w:spacing w:line="440" w:lineRule="exact"/>
        <w:ind w:left="645"/>
        <w:textAlignment w:val="auto"/>
        <w:rPr>
          <w:rFonts w:hint="eastAsia" w:ascii="仿宋_GB2312" w:eastAsia="仿宋_GB2312"/>
          <w:sz w:val="32"/>
          <w:szCs w:val="32"/>
        </w:rPr>
      </w:pPr>
      <w:r>
        <w:rPr>
          <w:rFonts w:hint="eastAsia" w:ascii="仿宋_GB2312" w:eastAsia="仿宋_GB2312"/>
          <w:sz w:val="32"/>
          <w:szCs w:val="32"/>
        </w:rPr>
        <w:t>3.其他</w:t>
      </w:r>
    </w:p>
    <w:p>
      <w:pPr>
        <w:keepNext w:val="0"/>
        <w:keepLines w:val="0"/>
        <w:pageBreakBefore w:val="0"/>
        <w:widowControl w:val="0"/>
        <w:tabs>
          <w:tab w:val="left" w:pos="1440"/>
        </w:tabs>
        <w:kinsoku/>
        <w:wordWrap/>
        <w:overflowPunct/>
        <w:topLinePunct w:val="0"/>
        <w:autoSpaceDE/>
        <w:autoSpaceDN/>
        <w:bidi w:val="0"/>
        <w:adjustRightInd/>
        <w:snapToGrid/>
        <w:spacing w:line="44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中选的竞聘人不按要求签订合同、擅自转让项目、放弃参选项目或者在参选过程中有违法违规行为的，将取消本次参选和中选资格并取消以后参加我集团公司项目的竞聘资格，总得分第二位的竞聘人自动获得中选资格。</w:t>
      </w:r>
    </w:p>
    <w:p>
      <w:pPr>
        <w:keepNext w:val="0"/>
        <w:keepLines w:val="0"/>
        <w:pageBreakBefore w:val="0"/>
        <w:widowControl w:val="0"/>
        <w:tabs>
          <w:tab w:val="left" w:pos="1440"/>
        </w:tabs>
        <w:kinsoku/>
        <w:wordWrap/>
        <w:overflowPunct/>
        <w:topLinePunct w:val="0"/>
        <w:autoSpaceDE/>
        <w:autoSpaceDN/>
        <w:bidi w:val="0"/>
        <w:adjustRightInd/>
        <w:snapToGrid/>
        <w:spacing w:line="44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总得分第二位的竞聘人亦违反上述规定的，由选聘人重新组织选聘。</w:t>
      </w:r>
    </w:p>
    <w:p>
      <w:pPr>
        <w:spacing w:line="500" w:lineRule="exact"/>
        <w:jc w:val="center"/>
        <w:textAlignment w:val="baseline"/>
        <w:rPr>
          <w:rFonts w:hint="eastAsia" w:ascii="Calibri" w:hAnsi="Calibri" w:eastAsia="黑体"/>
          <w:b/>
          <w:sz w:val="48"/>
        </w:rPr>
      </w:pPr>
    </w:p>
    <w:p>
      <w:pPr>
        <w:spacing w:line="500" w:lineRule="exact"/>
        <w:jc w:val="center"/>
        <w:textAlignment w:val="baseline"/>
        <w:rPr>
          <w:rFonts w:hint="eastAsia" w:ascii="Calibri" w:hAnsi="Calibri" w:eastAsia="黑体"/>
          <w:b/>
          <w:sz w:val="48"/>
        </w:rPr>
      </w:pPr>
      <w:r>
        <w:rPr>
          <w:rFonts w:hint="eastAsia" w:ascii="Calibri" w:hAnsi="Calibri" w:eastAsia="黑体"/>
          <w:b/>
          <w:sz w:val="48"/>
        </w:rPr>
        <w:t>业 务 约 定 书</w:t>
      </w:r>
    </w:p>
    <w:p>
      <w:pPr>
        <w:spacing w:line="500" w:lineRule="exact"/>
        <w:ind w:firstLine="3064" w:firstLineChars="1090"/>
        <w:textAlignment w:val="baseline"/>
        <w:rPr>
          <w:rFonts w:hint="eastAsia" w:ascii="Calibri" w:hAnsi="Calibri" w:eastAsia="黑体"/>
          <w:b/>
          <w:sz w:val="28"/>
          <w:u w:val="single"/>
        </w:rPr>
      </w:pPr>
      <w:r>
        <w:rPr>
          <w:rFonts w:hint="eastAsia" w:ascii="Calibri" w:hAnsi="Calibri" w:eastAsia="黑体"/>
          <w:b/>
          <w:sz w:val="28"/>
        </w:rPr>
        <w:t xml:space="preserve"> </w:t>
      </w:r>
    </w:p>
    <w:p>
      <w:pPr>
        <w:spacing w:line="480" w:lineRule="exact"/>
        <w:rPr>
          <w:rFonts w:hint="eastAsia" w:ascii="仿宋_GB2312" w:hAnsi="华文中宋" w:eastAsia="仿宋_GB2312"/>
          <w:b/>
          <w:sz w:val="28"/>
          <w:szCs w:val="28"/>
        </w:rPr>
      </w:pPr>
      <w:r>
        <w:rPr>
          <w:rFonts w:hint="eastAsia" w:ascii="仿宋_GB2312" w:hAnsi="华文中宋" w:eastAsia="仿宋_GB2312"/>
          <w:b/>
          <w:sz w:val="28"/>
          <w:szCs w:val="28"/>
        </w:rPr>
        <w:t>甲方（委托单位名称）：南宁建宁水务投资集团有限责任公司</w:t>
      </w:r>
    </w:p>
    <w:p>
      <w:pPr>
        <w:spacing w:line="480" w:lineRule="exact"/>
        <w:rPr>
          <w:rFonts w:hint="eastAsia" w:ascii="仿宋_GB2312" w:hAnsi="华文中宋" w:eastAsia="仿宋_GB2312"/>
          <w:b/>
          <w:sz w:val="28"/>
          <w:szCs w:val="28"/>
        </w:rPr>
      </w:pPr>
      <w:r>
        <w:rPr>
          <w:rFonts w:hint="eastAsia" w:ascii="仿宋_GB2312" w:hAnsi="华文中宋" w:eastAsia="仿宋_GB2312"/>
          <w:b/>
          <w:sz w:val="28"/>
          <w:szCs w:val="28"/>
        </w:rPr>
        <w:t xml:space="preserve">乙方（中介机构名称）： </w:t>
      </w:r>
    </w:p>
    <w:p>
      <w:pPr>
        <w:spacing w:line="480" w:lineRule="exact"/>
        <w:ind w:firstLine="560" w:firstLineChars="200"/>
        <w:rPr>
          <w:rFonts w:hint="eastAsia" w:ascii="仿宋_GB2312" w:hAnsi="华文中宋" w:eastAsia="仿宋_GB2312"/>
          <w:sz w:val="28"/>
          <w:szCs w:val="28"/>
        </w:rPr>
      </w:pPr>
      <w:r>
        <w:rPr>
          <w:rFonts w:hint="eastAsia" w:ascii="仿宋_GB2312" w:hAnsi="华文中宋" w:eastAsia="仿宋_GB2312"/>
          <w:sz w:val="28"/>
          <w:szCs w:val="28"/>
        </w:rPr>
        <w:t>经双方协商，就委托评估事项协议如下：</w:t>
      </w:r>
    </w:p>
    <w:p>
      <w:pPr>
        <w:numPr>
          <w:ilvl w:val="0"/>
          <w:numId w:val="5"/>
        </w:numPr>
        <w:spacing w:line="480" w:lineRule="exact"/>
        <w:rPr>
          <w:rFonts w:hint="eastAsia" w:ascii="仿宋_GB2312" w:hAnsi="华文中宋" w:eastAsia="仿宋_GB2312"/>
          <w:b/>
          <w:sz w:val="28"/>
          <w:szCs w:val="28"/>
        </w:rPr>
      </w:pPr>
      <w:r>
        <w:rPr>
          <w:rFonts w:hint="eastAsia" w:ascii="仿宋_GB2312" w:hAnsi="华文中宋" w:eastAsia="仿宋_GB2312"/>
          <w:b/>
          <w:sz w:val="28"/>
          <w:szCs w:val="28"/>
        </w:rPr>
        <w:t>业务内容</w:t>
      </w:r>
    </w:p>
    <w:p>
      <w:pPr>
        <w:spacing w:line="480" w:lineRule="exact"/>
        <w:rPr>
          <w:rFonts w:hint="eastAsia" w:ascii="仿宋_GB2312" w:hAnsi="华文中宋" w:eastAsia="仿宋_GB2312"/>
          <w:sz w:val="28"/>
          <w:szCs w:val="28"/>
        </w:rPr>
      </w:pPr>
      <w:r>
        <w:rPr>
          <w:rFonts w:hint="eastAsia" w:ascii="仿宋_GB2312" w:hAnsi="华文中宋" w:eastAsia="仿宋_GB2312"/>
          <w:sz w:val="28"/>
          <w:szCs w:val="28"/>
        </w:rPr>
        <w:t xml:space="preserve">    资产持有单位名称：南宁建宁水务投资集团有限责任公司</w:t>
      </w:r>
    </w:p>
    <w:p>
      <w:pPr>
        <w:spacing w:line="480" w:lineRule="exact"/>
        <w:rPr>
          <w:rFonts w:hint="eastAsia" w:ascii="仿宋_GB2312" w:hAnsi="华文中宋" w:eastAsia="仿宋_GB2312"/>
          <w:sz w:val="28"/>
          <w:szCs w:val="28"/>
        </w:rPr>
      </w:pPr>
      <w:r>
        <w:rPr>
          <w:rFonts w:hint="eastAsia" w:ascii="仿宋_GB2312" w:hAnsi="华文中宋" w:eastAsia="仿宋_GB2312"/>
          <w:sz w:val="28"/>
          <w:szCs w:val="28"/>
        </w:rPr>
        <w:t xml:space="preserve">    资产评估目的：</w:t>
      </w:r>
    </w:p>
    <w:p>
      <w:pPr>
        <w:spacing w:line="480" w:lineRule="exact"/>
        <w:ind w:firstLine="560" w:firstLineChars="200"/>
        <w:rPr>
          <w:rFonts w:hint="eastAsia" w:ascii="仿宋_GB2312" w:hAnsi="华文中宋" w:eastAsia="仿宋_GB2312"/>
          <w:color w:val="FF0000"/>
          <w:sz w:val="28"/>
          <w:szCs w:val="28"/>
        </w:rPr>
      </w:pPr>
      <w:r>
        <w:rPr>
          <w:rFonts w:hint="eastAsia" w:ascii="仿宋_GB2312" w:hAnsi="华文中宋" w:eastAsia="仿宋_GB2312"/>
          <w:sz w:val="28"/>
          <w:szCs w:val="28"/>
          <w:lang w:val="zh-CN"/>
        </w:rPr>
        <w:t>资产评估对象：</w:t>
      </w:r>
    </w:p>
    <w:p>
      <w:pPr>
        <w:spacing w:line="480" w:lineRule="exact"/>
        <w:rPr>
          <w:rFonts w:hint="eastAsia" w:ascii="仿宋_GB2312" w:hAnsi="华文中宋" w:eastAsia="仿宋_GB2312"/>
          <w:color w:val="FF0000"/>
          <w:sz w:val="28"/>
          <w:szCs w:val="28"/>
        </w:rPr>
      </w:pPr>
      <w:r>
        <w:rPr>
          <w:rFonts w:hint="eastAsia" w:ascii="仿宋_GB2312" w:hAnsi="华文中宋" w:eastAsia="仿宋_GB2312"/>
          <w:sz w:val="28"/>
          <w:szCs w:val="28"/>
        </w:rPr>
        <w:t xml:space="preserve">    资产评估基准日：</w:t>
      </w:r>
      <w:r>
        <w:rPr>
          <w:rFonts w:hint="eastAsia" w:ascii="仿宋_GB2312" w:hAnsi="华文中宋" w:eastAsia="仿宋_GB2312"/>
          <w:sz w:val="28"/>
          <w:szCs w:val="28"/>
          <w:lang w:val="en-US" w:eastAsia="zh-CN"/>
        </w:rPr>
        <w:t>2020</w:t>
      </w:r>
      <w:r>
        <w:rPr>
          <w:rFonts w:hint="eastAsia" w:ascii="仿宋_GB2312" w:hAnsi="华文中宋" w:eastAsia="仿宋_GB2312"/>
          <w:color w:val="FF0000"/>
          <w:sz w:val="28"/>
          <w:szCs w:val="28"/>
        </w:rPr>
        <w:t>年</w:t>
      </w:r>
      <w:r>
        <w:rPr>
          <w:rFonts w:hint="eastAsia" w:ascii="仿宋_GB2312" w:hAnsi="华文中宋" w:eastAsia="仿宋_GB2312"/>
          <w:color w:val="FF0000"/>
          <w:sz w:val="28"/>
          <w:szCs w:val="28"/>
          <w:u w:val="single"/>
          <w:lang w:val="en-US" w:eastAsia="zh-CN"/>
        </w:rPr>
        <w:t xml:space="preserve"> </w:t>
      </w:r>
      <w:r>
        <w:rPr>
          <w:rFonts w:hint="eastAsia" w:ascii="仿宋_GB2312" w:hAnsi="华文中宋" w:eastAsia="仿宋_GB2312"/>
          <w:color w:val="FF0000"/>
          <w:sz w:val="28"/>
          <w:szCs w:val="28"/>
        </w:rPr>
        <w:t>月</w:t>
      </w:r>
      <w:r>
        <w:rPr>
          <w:rFonts w:hint="eastAsia" w:ascii="仿宋_GB2312" w:hAnsi="华文中宋" w:eastAsia="仿宋_GB2312"/>
          <w:color w:val="FF0000"/>
          <w:sz w:val="28"/>
          <w:szCs w:val="28"/>
          <w:u w:val="single"/>
          <w:lang w:val="en-US" w:eastAsia="zh-CN"/>
        </w:rPr>
        <w:t xml:space="preserve">  </w:t>
      </w:r>
      <w:r>
        <w:rPr>
          <w:rFonts w:hint="eastAsia" w:ascii="仿宋_GB2312" w:hAnsi="华文中宋" w:eastAsia="仿宋_GB2312"/>
          <w:color w:val="FF0000"/>
          <w:sz w:val="28"/>
          <w:szCs w:val="28"/>
        </w:rPr>
        <w:t>日</w:t>
      </w:r>
    </w:p>
    <w:p>
      <w:pPr>
        <w:spacing w:line="480" w:lineRule="exact"/>
        <w:ind w:firstLine="560" w:firstLineChars="200"/>
        <w:rPr>
          <w:rFonts w:hint="eastAsia" w:ascii="仿宋_GB2312" w:hAnsi="华文中宋" w:eastAsia="仿宋_GB2312" w:cs="仿宋_GB2312"/>
          <w:color w:val="FF0000"/>
          <w:sz w:val="28"/>
          <w:szCs w:val="28"/>
        </w:rPr>
      </w:pPr>
      <w:r>
        <w:rPr>
          <w:rFonts w:hint="eastAsia" w:ascii="仿宋_GB2312" w:hAnsi="华文中宋" w:eastAsia="仿宋_GB2312"/>
          <w:sz w:val="28"/>
          <w:szCs w:val="28"/>
        </w:rPr>
        <w:t>评估报告书使用者：</w:t>
      </w:r>
      <w:r>
        <w:rPr>
          <w:rFonts w:hint="eastAsia" w:ascii="仿宋_GB2312" w:hAnsi="华文中宋" w:eastAsia="仿宋_GB2312"/>
          <w:color w:val="FF0000"/>
          <w:sz w:val="28"/>
          <w:szCs w:val="28"/>
        </w:rPr>
        <w:t>南宁建宁水务投资集团有限责任公司</w:t>
      </w:r>
    </w:p>
    <w:p>
      <w:pPr>
        <w:spacing w:line="480" w:lineRule="exact"/>
        <w:ind w:firstLine="632" w:firstLineChars="225"/>
        <w:rPr>
          <w:rFonts w:hint="eastAsia" w:ascii="仿宋_GB2312" w:hAnsi="华文中宋" w:eastAsia="仿宋_GB2312"/>
          <w:b/>
          <w:sz w:val="28"/>
          <w:szCs w:val="28"/>
        </w:rPr>
      </w:pPr>
      <w:r>
        <w:rPr>
          <w:rFonts w:hint="eastAsia" w:ascii="仿宋_GB2312" w:hAnsi="华文中宋" w:eastAsia="仿宋_GB2312"/>
          <w:b/>
          <w:sz w:val="28"/>
          <w:szCs w:val="28"/>
        </w:rPr>
        <w:t>甲方及其下属的责任和义务</w:t>
      </w:r>
    </w:p>
    <w:p>
      <w:pPr>
        <w:spacing w:line="480" w:lineRule="exact"/>
        <w:ind w:firstLine="560" w:firstLineChars="200"/>
        <w:rPr>
          <w:rFonts w:hint="eastAsia" w:ascii="仿宋_GB2312" w:hAnsi="华文中宋" w:eastAsia="仿宋_GB2312"/>
          <w:sz w:val="28"/>
          <w:szCs w:val="28"/>
        </w:rPr>
      </w:pPr>
      <w:r>
        <w:rPr>
          <w:rFonts w:hint="eastAsia" w:ascii="仿宋_GB2312" w:hAnsi="华文中宋" w:eastAsia="仿宋_GB2312"/>
          <w:sz w:val="28"/>
          <w:szCs w:val="28"/>
        </w:rPr>
        <w:t>1、提供必要的资料并保证所提供资料的真实性、合法性、完整性，恰当使用评估报告是委托方和相关当事方的责任。</w:t>
      </w:r>
    </w:p>
    <w:p>
      <w:pPr>
        <w:spacing w:line="480" w:lineRule="exact"/>
        <w:ind w:firstLine="560" w:firstLineChars="200"/>
        <w:rPr>
          <w:rFonts w:hint="eastAsia" w:ascii="仿宋_GB2312" w:hAnsi="华文中宋" w:eastAsia="仿宋_GB2312"/>
          <w:sz w:val="28"/>
          <w:szCs w:val="28"/>
        </w:rPr>
      </w:pPr>
      <w:r>
        <w:rPr>
          <w:rFonts w:hint="eastAsia" w:ascii="仿宋_GB2312" w:hAnsi="华文中宋" w:eastAsia="仿宋_GB2312"/>
          <w:sz w:val="28"/>
          <w:szCs w:val="28"/>
        </w:rPr>
        <w:t>2、在评估人员的指导和参与下，对待评估资产及有关债权、债务在</w:t>
      </w:r>
      <w:r>
        <w:rPr>
          <w:rFonts w:hint="eastAsia" w:ascii="仿宋_GB2312" w:hAnsi="华文中宋" w:eastAsia="仿宋_GB2312"/>
          <w:sz w:val="28"/>
          <w:szCs w:val="28"/>
          <w:u w:val="single"/>
        </w:rPr>
        <w:t xml:space="preserve">        20   </w:t>
      </w:r>
      <w:r>
        <w:rPr>
          <w:rFonts w:hint="eastAsia" w:ascii="仿宋_GB2312" w:hAnsi="华文中宋" w:eastAsia="仿宋_GB2312"/>
          <w:sz w:val="28"/>
          <w:szCs w:val="28"/>
        </w:rPr>
        <w:t>年</w:t>
      </w:r>
      <w:r>
        <w:rPr>
          <w:rFonts w:hint="eastAsia" w:ascii="仿宋_GB2312" w:hAnsi="华文中宋" w:eastAsia="仿宋_GB2312"/>
          <w:sz w:val="28"/>
          <w:szCs w:val="28"/>
          <w:u w:val="single"/>
        </w:rPr>
        <w:t xml:space="preserve">     </w:t>
      </w:r>
      <w:r>
        <w:rPr>
          <w:rFonts w:hint="eastAsia" w:ascii="仿宋_GB2312" w:hAnsi="华文中宋" w:eastAsia="仿宋_GB2312"/>
          <w:sz w:val="28"/>
          <w:szCs w:val="28"/>
        </w:rPr>
        <w:t>月</w:t>
      </w:r>
      <w:r>
        <w:rPr>
          <w:rFonts w:hint="eastAsia" w:ascii="仿宋_GB2312" w:hAnsi="华文中宋" w:eastAsia="仿宋_GB2312"/>
          <w:sz w:val="28"/>
          <w:szCs w:val="28"/>
          <w:u w:val="single"/>
        </w:rPr>
        <w:t xml:space="preserve">  </w:t>
      </w:r>
      <w:r>
        <w:rPr>
          <w:rFonts w:hint="eastAsia" w:ascii="仿宋_GB2312" w:hAnsi="华文中宋" w:eastAsia="仿宋_GB2312"/>
          <w:color w:val="FF0000"/>
          <w:sz w:val="28"/>
          <w:szCs w:val="28"/>
          <w:u w:val="single"/>
        </w:rPr>
        <w:t xml:space="preserve">  </w:t>
      </w:r>
      <w:r>
        <w:rPr>
          <w:rFonts w:hint="eastAsia" w:ascii="仿宋_GB2312" w:hAnsi="华文中宋" w:eastAsia="仿宋_GB2312"/>
          <w:sz w:val="28"/>
          <w:szCs w:val="28"/>
          <w:u w:val="single"/>
        </w:rPr>
        <w:t xml:space="preserve">  </w:t>
      </w:r>
      <w:r>
        <w:rPr>
          <w:rFonts w:hint="eastAsia" w:ascii="仿宋_GB2312" w:hAnsi="华文中宋" w:eastAsia="仿宋_GB2312"/>
          <w:sz w:val="28"/>
          <w:szCs w:val="28"/>
        </w:rPr>
        <w:t>日前进行全面清查并完成下述工作；在评估人员的指导下，按评估要求填写各资产、负债《清查申报明细表》及有关资料；</w:t>
      </w:r>
    </w:p>
    <w:p>
      <w:pPr>
        <w:spacing w:line="480" w:lineRule="exact"/>
        <w:ind w:firstLine="560" w:firstLineChars="200"/>
        <w:rPr>
          <w:rFonts w:hint="eastAsia" w:ascii="仿宋_GB2312" w:hAnsi="华文中宋" w:eastAsia="仿宋_GB2312"/>
          <w:sz w:val="28"/>
          <w:szCs w:val="28"/>
        </w:rPr>
      </w:pPr>
      <w:r>
        <w:rPr>
          <w:rFonts w:hint="eastAsia" w:ascii="仿宋_GB2312" w:hAnsi="华文中宋" w:eastAsia="仿宋_GB2312"/>
          <w:sz w:val="28"/>
          <w:szCs w:val="28"/>
        </w:rPr>
        <w:t>3、应及时提供评估机构所需的会计资料、房屋所有权证、土地使用证及其他产权证明文件等评估对象法律权属资料和与评估目的相关的经济情形的批准文件，根据乙方要求收集提供评估所需的有关资料，</w:t>
      </w:r>
      <w:r>
        <w:rPr>
          <w:rFonts w:hint="eastAsia" w:ascii="仿宋_GB2312" w:hAnsi="华文中宋" w:eastAsia="仿宋_GB2312"/>
          <w:b/>
          <w:sz w:val="28"/>
          <w:szCs w:val="28"/>
        </w:rPr>
        <w:t>甲方或者产权持有者应当对其提供的评估明细表及相关证明材料以签字、盖章或者其他方式进行确认。</w:t>
      </w:r>
    </w:p>
    <w:p>
      <w:pPr>
        <w:spacing w:line="480" w:lineRule="exact"/>
        <w:ind w:firstLine="560" w:firstLineChars="200"/>
        <w:rPr>
          <w:rFonts w:hint="eastAsia" w:ascii="仿宋_GB2312" w:hAnsi="华文中宋" w:eastAsia="仿宋_GB2312"/>
          <w:sz w:val="28"/>
          <w:szCs w:val="28"/>
        </w:rPr>
      </w:pPr>
      <w:r>
        <w:rPr>
          <w:rFonts w:hint="eastAsia" w:ascii="仿宋_GB2312" w:hAnsi="华文中宋" w:eastAsia="仿宋_GB2312"/>
          <w:sz w:val="28"/>
          <w:szCs w:val="28"/>
        </w:rPr>
        <w:t>4、配合评估人员进行现场查勘，如实提供机器设备维修保养、大修记录，房屋建筑物维护保养、扩建拆除记录，如实反映库存物资质量状况和账外实存资产等情况；</w:t>
      </w:r>
    </w:p>
    <w:p>
      <w:pPr>
        <w:spacing w:line="480" w:lineRule="exact"/>
        <w:ind w:firstLine="560" w:firstLineChars="200"/>
        <w:rPr>
          <w:rFonts w:hint="eastAsia" w:ascii="仿宋_GB2312" w:hAnsi="华文中宋" w:eastAsia="仿宋_GB2312"/>
          <w:sz w:val="28"/>
          <w:szCs w:val="28"/>
        </w:rPr>
      </w:pPr>
      <w:r>
        <w:rPr>
          <w:rFonts w:hint="eastAsia" w:ascii="仿宋_GB2312" w:hAnsi="华文中宋" w:eastAsia="仿宋_GB2312"/>
          <w:sz w:val="28"/>
          <w:szCs w:val="28"/>
        </w:rPr>
        <w:t>5、为评估人员妥善解决工作场地及评估工作中其他必要条件；</w:t>
      </w:r>
    </w:p>
    <w:p>
      <w:pPr>
        <w:spacing w:line="480" w:lineRule="exact"/>
        <w:ind w:firstLine="560" w:firstLineChars="200"/>
        <w:rPr>
          <w:rFonts w:hint="eastAsia" w:ascii="仿宋_GB2312" w:hAnsi="华文中宋" w:eastAsia="仿宋_GB2312"/>
          <w:sz w:val="28"/>
          <w:szCs w:val="28"/>
        </w:rPr>
      </w:pPr>
      <w:r>
        <w:rPr>
          <w:rFonts w:hint="eastAsia" w:ascii="仿宋_GB2312" w:hAnsi="华文中宋" w:eastAsia="仿宋_GB2312"/>
          <w:sz w:val="28"/>
          <w:szCs w:val="28"/>
        </w:rPr>
        <w:t>6、按评估业务约定规定及时足额支付评估费用。</w:t>
      </w:r>
    </w:p>
    <w:p>
      <w:pPr>
        <w:numPr>
          <w:ilvl w:val="0"/>
          <w:numId w:val="5"/>
        </w:numPr>
        <w:spacing w:line="480" w:lineRule="exact"/>
        <w:rPr>
          <w:rFonts w:hint="eastAsia" w:ascii="仿宋_GB2312" w:hAnsi="华文中宋" w:eastAsia="仿宋_GB2312"/>
          <w:b/>
          <w:sz w:val="28"/>
          <w:szCs w:val="28"/>
        </w:rPr>
      </w:pPr>
      <w:r>
        <w:rPr>
          <w:rFonts w:hint="eastAsia" w:ascii="仿宋_GB2312" w:hAnsi="华文中宋" w:eastAsia="仿宋_GB2312"/>
          <w:b/>
          <w:sz w:val="28"/>
          <w:szCs w:val="28"/>
        </w:rPr>
        <w:t>乙方的责任和义务</w:t>
      </w:r>
    </w:p>
    <w:p>
      <w:pPr>
        <w:spacing w:line="480" w:lineRule="exact"/>
        <w:ind w:firstLine="560" w:firstLineChars="200"/>
        <w:rPr>
          <w:rFonts w:hint="eastAsia" w:ascii="仿宋_GB2312" w:hAnsi="华文中宋" w:eastAsia="仿宋_GB2312"/>
          <w:sz w:val="28"/>
          <w:szCs w:val="28"/>
        </w:rPr>
      </w:pPr>
      <w:r>
        <w:rPr>
          <w:rFonts w:hint="eastAsia" w:ascii="仿宋_GB2312" w:hAnsi="华文中宋" w:eastAsia="仿宋_GB2312"/>
          <w:sz w:val="28"/>
          <w:szCs w:val="28"/>
        </w:rPr>
        <w:t>1、根据《资产评估准则——基本准则》第二十三条的规定，遵守相关法律、法规和资产评估准则，对评估对象在评估基准日特定目的下的价值进行分析、估算并发表专业意见，是注册资产评估师的责任；</w:t>
      </w:r>
    </w:p>
    <w:p>
      <w:pPr>
        <w:spacing w:line="480" w:lineRule="exact"/>
        <w:ind w:firstLine="560" w:firstLineChars="200"/>
        <w:rPr>
          <w:rFonts w:hint="eastAsia" w:ascii="仿宋_GB2312" w:hAnsi="华文中宋" w:eastAsia="仿宋_GB2312"/>
          <w:sz w:val="28"/>
          <w:szCs w:val="28"/>
        </w:rPr>
      </w:pPr>
      <w:r>
        <w:rPr>
          <w:rFonts w:hint="eastAsia" w:ascii="仿宋_GB2312" w:hAnsi="华文中宋" w:eastAsia="仿宋_GB2312"/>
          <w:sz w:val="28"/>
          <w:szCs w:val="28"/>
        </w:rPr>
        <w:t>2、指导甲方进行企业清查、填报资产及收集准备资料；</w:t>
      </w:r>
    </w:p>
    <w:p>
      <w:pPr>
        <w:spacing w:line="480" w:lineRule="exact"/>
        <w:ind w:firstLine="560" w:firstLineChars="200"/>
        <w:rPr>
          <w:rFonts w:hint="eastAsia" w:ascii="仿宋_GB2312" w:hAnsi="华文中宋" w:eastAsia="仿宋_GB2312"/>
          <w:sz w:val="28"/>
          <w:szCs w:val="28"/>
        </w:rPr>
      </w:pPr>
      <w:r>
        <w:rPr>
          <w:rFonts w:hint="eastAsia" w:ascii="仿宋_GB2312" w:hAnsi="华文中宋" w:eastAsia="仿宋_GB2312"/>
          <w:sz w:val="28"/>
          <w:szCs w:val="28"/>
        </w:rPr>
        <w:t>3、对申报评估资产进行抽查核实，实地调查，实事求是地对资产进行调查勘察；</w:t>
      </w:r>
    </w:p>
    <w:p>
      <w:pPr>
        <w:spacing w:line="480" w:lineRule="exact"/>
        <w:ind w:firstLine="560" w:firstLineChars="200"/>
        <w:rPr>
          <w:rFonts w:hint="eastAsia" w:ascii="仿宋_GB2312" w:hAnsi="华文中宋" w:eastAsia="仿宋_GB2312"/>
          <w:sz w:val="28"/>
          <w:szCs w:val="28"/>
        </w:rPr>
      </w:pPr>
      <w:r>
        <w:rPr>
          <w:rFonts w:hint="eastAsia" w:ascii="仿宋_GB2312" w:hAnsi="华文中宋" w:eastAsia="仿宋_GB2312"/>
          <w:sz w:val="28"/>
          <w:szCs w:val="28"/>
        </w:rPr>
        <w:t>4、对在评估过程中知悉的关于委托方、资产持有方的商业秘密保密；</w:t>
      </w:r>
    </w:p>
    <w:p>
      <w:pPr>
        <w:spacing w:line="480" w:lineRule="exact"/>
        <w:ind w:firstLine="560" w:firstLineChars="200"/>
        <w:rPr>
          <w:rFonts w:hint="eastAsia" w:ascii="仿宋_GB2312" w:hAnsi="华文中宋" w:eastAsia="仿宋_GB2312"/>
          <w:sz w:val="28"/>
          <w:szCs w:val="28"/>
        </w:rPr>
      </w:pPr>
      <w:r>
        <w:rPr>
          <w:rFonts w:hint="eastAsia" w:ascii="仿宋_GB2312" w:hAnsi="华文中宋" w:eastAsia="仿宋_GB2312"/>
          <w:sz w:val="28"/>
          <w:szCs w:val="28"/>
        </w:rPr>
        <w:t>5、乙方承接本次资产评估业务的目的是对评估对象价值进行估算并发表专业意见，注册资产评估师对评估对象的法律权属状况应当给予必要的关注，但不对评估对象的法律权属作任何形式的保证，对评估对象法律权属确认或发表意见超出注册资产评估执行范围；</w:t>
      </w:r>
    </w:p>
    <w:p>
      <w:pPr>
        <w:spacing w:line="480" w:lineRule="exact"/>
        <w:ind w:firstLine="560" w:firstLineChars="200"/>
        <w:rPr>
          <w:rFonts w:hint="eastAsia" w:ascii="仿宋_GB2312" w:hAnsi="华文中宋" w:eastAsia="仿宋_GB2312"/>
          <w:sz w:val="28"/>
          <w:szCs w:val="28"/>
          <w:u w:val="single"/>
        </w:rPr>
      </w:pPr>
      <w:r>
        <w:rPr>
          <w:rFonts w:hint="eastAsia" w:ascii="仿宋_GB2312" w:hAnsi="华文中宋" w:eastAsia="仿宋_GB2312"/>
          <w:sz w:val="28"/>
          <w:szCs w:val="28"/>
        </w:rPr>
        <w:t>6、乙方原则上在甲方提供评估所需全部资料的基础上，在</w:t>
      </w:r>
      <w:r>
        <w:rPr>
          <w:rFonts w:hint="eastAsia" w:ascii="仿宋_GB2312" w:hAnsi="华文中宋" w:eastAsia="仿宋_GB2312"/>
          <w:sz w:val="28"/>
          <w:szCs w:val="28"/>
          <w:u w:val="single"/>
        </w:rPr>
        <w:t xml:space="preserve">     </w:t>
      </w:r>
      <w:r>
        <w:rPr>
          <w:rFonts w:hint="eastAsia" w:ascii="仿宋_GB2312" w:hAnsi="华文中宋" w:eastAsia="仿宋_GB2312"/>
          <w:sz w:val="28"/>
          <w:szCs w:val="28"/>
        </w:rPr>
        <w:t>年</w:t>
      </w:r>
      <w:r>
        <w:rPr>
          <w:rFonts w:hint="eastAsia" w:ascii="仿宋_GB2312" w:hAnsi="华文中宋" w:eastAsia="仿宋_GB2312"/>
          <w:sz w:val="28"/>
          <w:szCs w:val="28"/>
          <w:u w:val="single"/>
        </w:rPr>
        <w:t xml:space="preserve">      </w:t>
      </w:r>
    </w:p>
    <w:p>
      <w:pPr>
        <w:spacing w:line="480" w:lineRule="exact"/>
        <w:rPr>
          <w:rFonts w:hint="eastAsia" w:ascii="仿宋_GB2312" w:hAnsi="华文中宋" w:eastAsia="仿宋_GB2312"/>
          <w:sz w:val="28"/>
          <w:szCs w:val="28"/>
        </w:rPr>
      </w:pPr>
      <w:r>
        <w:rPr>
          <w:rFonts w:hint="eastAsia" w:ascii="仿宋_GB2312" w:hAnsi="华文中宋" w:eastAsia="仿宋_GB2312"/>
          <w:sz w:val="28"/>
          <w:szCs w:val="28"/>
        </w:rPr>
        <w:t>月</w:t>
      </w:r>
      <w:r>
        <w:rPr>
          <w:rFonts w:hint="eastAsia" w:ascii="仿宋_GB2312" w:hAnsi="华文中宋" w:eastAsia="仿宋_GB2312"/>
          <w:sz w:val="28"/>
          <w:szCs w:val="28"/>
          <w:u w:val="single"/>
        </w:rPr>
        <w:t xml:space="preserve">     </w:t>
      </w:r>
      <w:r>
        <w:rPr>
          <w:rFonts w:hint="eastAsia" w:ascii="仿宋_GB2312" w:hAnsi="华文中宋" w:eastAsia="仿宋_GB2312"/>
          <w:sz w:val="28"/>
          <w:szCs w:val="28"/>
        </w:rPr>
        <w:t>日提交评估报告书，如遇特殊情况双方可协商解决。</w:t>
      </w:r>
    </w:p>
    <w:p>
      <w:pPr>
        <w:numPr>
          <w:ilvl w:val="0"/>
          <w:numId w:val="5"/>
        </w:numPr>
        <w:spacing w:line="480" w:lineRule="exact"/>
        <w:rPr>
          <w:rFonts w:hint="eastAsia" w:ascii="仿宋_GB2312" w:hAnsi="华文中宋" w:eastAsia="仿宋_GB2312"/>
          <w:b/>
          <w:sz w:val="28"/>
          <w:szCs w:val="28"/>
        </w:rPr>
      </w:pPr>
      <w:r>
        <w:rPr>
          <w:rFonts w:hint="eastAsia" w:ascii="仿宋_GB2312" w:hAnsi="华文中宋" w:eastAsia="仿宋_GB2312"/>
          <w:b/>
          <w:sz w:val="28"/>
          <w:szCs w:val="28"/>
        </w:rPr>
        <w:t>评估收费</w:t>
      </w:r>
    </w:p>
    <w:p>
      <w:pPr>
        <w:spacing w:line="480" w:lineRule="exact"/>
        <w:ind w:firstLine="560" w:firstLineChars="200"/>
        <w:rPr>
          <w:rFonts w:hint="eastAsia" w:ascii="仿宋_GB2312" w:hAnsi="华文中宋" w:eastAsia="仿宋_GB2312"/>
          <w:sz w:val="28"/>
          <w:szCs w:val="28"/>
        </w:rPr>
      </w:pPr>
      <w:r>
        <w:rPr>
          <w:rFonts w:hint="eastAsia" w:ascii="仿宋_GB2312" w:hAnsi="华文中宋" w:eastAsia="仿宋_GB2312"/>
          <w:sz w:val="28"/>
          <w:szCs w:val="28"/>
        </w:rPr>
        <w:t>根据</w:t>
      </w:r>
      <w:r>
        <w:rPr>
          <w:rFonts w:hint="eastAsia" w:ascii="仿宋_GB2312" w:hAnsi="华文中宋" w:eastAsia="仿宋_GB2312"/>
          <w:sz w:val="28"/>
          <w:szCs w:val="28"/>
          <w:u w:val="single"/>
        </w:rPr>
        <w:t xml:space="preserve">  甲方发出的中选通知书  </w:t>
      </w:r>
      <w:r>
        <w:rPr>
          <w:rFonts w:hint="eastAsia" w:ascii="仿宋_GB2312" w:hAnsi="华文中宋" w:eastAsia="仿宋_GB2312"/>
          <w:sz w:val="28"/>
          <w:szCs w:val="28"/>
        </w:rPr>
        <w:t>的规定，协议约定本次评估费用为</w:t>
      </w:r>
    </w:p>
    <w:p>
      <w:pPr>
        <w:spacing w:line="480" w:lineRule="exact"/>
        <w:rPr>
          <w:rFonts w:hint="eastAsia" w:ascii="仿宋_GB2312" w:hAnsi="华文中宋" w:eastAsia="仿宋_GB2312"/>
          <w:sz w:val="28"/>
          <w:szCs w:val="28"/>
        </w:rPr>
      </w:pPr>
      <w:r>
        <w:rPr>
          <w:rFonts w:hint="eastAsia" w:ascii="仿宋_GB2312" w:hAnsi="华文中宋" w:eastAsia="仿宋_GB2312"/>
          <w:sz w:val="28"/>
          <w:szCs w:val="28"/>
          <w:u w:val="single"/>
        </w:rPr>
        <w:t xml:space="preserve">        </w:t>
      </w:r>
      <w:r>
        <w:rPr>
          <w:rFonts w:hint="eastAsia" w:ascii="仿宋_GB2312" w:hAnsi="华文中宋" w:eastAsia="仿宋_GB2312"/>
          <w:sz w:val="28"/>
          <w:szCs w:val="28"/>
        </w:rPr>
        <w:t>元整（</w:t>
      </w:r>
      <w:r>
        <w:rPr>
          <w:rFonts w:ascii="Arial" w:hAnsi="Arial" w:eastAsia="仿宋_GB2312" w:cs="Arial"/>
          <w:sz w:val="28"/>
          <w:szCs w:val="28"/>
        </w:rPr>
        <w:t>¥</w:t>
      </w:r>
      <w:r>
        <w:rPr>
          <w:rFonts w:hint="eastAsia" w:ascii="Arial" w:hAnsi="Arial" w:eastAsia="仿宋_GB2312" w:cs="Arial"/>
          <w:sz w:val="28"/>
          <w:szCs w:val="28"/>
          <w:u w:val="single"/>
        </w:rPr>
        <w:t xml:space="preserve">     </w:t>
      </w:r>
      <w:r>
        <w:rPr>
          <w:rFonts w:hint="eastAsia" w:ascii="Arial" w:hAnsi="Arial" w:eastAsia="仿宋_GB2312" w:cs="Arial"/>
          <w:sz w:val="28"/>
          <w:szCs w:val="28"/>
        </w:rPr>
        <w:t>元</w:t>
      </w:r>
      <w:r>
        <w:rPr>
          <w:rFonts w:hint="eastAsia" w:ascii="仿宋_GB2312" w:hAnsi="华文中宋" w:eastAsia="仿宋_GB2312"/>
          <w:sz w:val="28"/>
          <w:szCs w:val="28"/>
        </w:rPr>
        <w:t>），乙方完成本次评估提交最终报告书时甲方一次性支付评估费</w:t>
      </w:r>
      <w:r>
        <w:rPr>
          <w:rFonts w:hint="eastAsia" w:ascii="仿宋_GB2312" w:hAnsi="华文中宋" w:eastAsia="仿宋_GB2312"/>
          <w:sz w:val="28"/>
          <w:szCs w:val="28"/>
          <w:u w:val="single"/>
        </w:rPr>
        <w:t xml:space="preserve">    </w:t>
      </w:r>
      <w:r>
        <w:rPr>
          <w:rFonts w:hint="eastAsia" w:ascii="仿宋_GB2312" w:hAnsi="华文中宋" w:eastAsia="仿宋_GB2312"/>
          <w:sz w:val="28"/>
          <w:szCs w:val="28"/>
        </w:rPr>
        <w:t>元整（</w:t>
      </w:r>
      <w:r>
        <w:rPr>
          <w:rFonts w:ascii="Arial" w:hAnsi="Arial" w:eastAsia="仿宋_GB2312" w:cs="Arial"/>
          <w:sz w:val="28"/>
          <w:szCs w:val="28"/>
        </w:rPr>
        <w:t>¥</w:t>
      </w:r>
      <w:r>
        <w:rPr>
          <w:rFonts w:hint="eastAsia" w:ascii="Arial" w:hAnsi="Arial" w:eastAsia="仿宋_GB2312" w:cs="Arial"/>
          <w:sz w:val="28"/>
          <w:szCs w:val="28"/>
          <w:u w:val="single"/>
        </w:rPr>
        <w:t xml:space="preserve">      </w:t>
      </w:r>
      <w:r>
        <w:rPr>
          <w:rFonts w:hint="eastAsia" w:ascii="Arial" w:hAnsi="Arial" w:eastAsia="仿宋_GB2312" w:cs="Arial"/>
          <w:sz w:val="28"/>
          <w:szCs w:val="28"/>
        </w:rPr>
        <w:t>元</w:t>
      </w:r>
      <w:r>
        <w:rPr>
          <w:rFonts w:hint="eastAsia" w:ascii="仿宋_GB2312" w:hAnsi="华文中宋" w:eastAsia="仿宋_GB2312"/>
          <w:sz w:val="28"/>
          <w:szCs w:val="28"/>
        </w:rPr>
        <w:t>）。</w:t>
      </w:r>
    </w:p>
    <w:p>
      <w:pPr>
        <w:numPr>
          <w:ilvl w:val="0"/>
          <w:numId w:val="5"/>
        </w:numPr>
        <w:spacing w:line="480" w:lineRule="exact"/>
        <w:rPr>
          <w:rFonts w:hint="eastAsia" w:ascii="仿宋_GB2312" w:hAnsi="华文中宋" w:eastAsia="仿宋_GB2312"/>
          <w:b/>
          <w:sz w:val="28"/>
          <w:szCs w:val="28"/>
        </w:rPr>
      </w:pPr>
      <w:r>
        <w:rPr>
          <w:rFonts w:hint="eastAsia" w:ascii="仿宋_GB2312" w:hAnsi="华文中宋" w:eastAsia="仿宋_GB2312"/>
          <w:b/>
          <w:sz w:val="28"/>
          <w:szCs w:val="28"/>
        </w:rPr>
        <w:t>评估报告的使用责任</w:t>
      </w:r>
    </w:p>
    <w:p>
      <w:pPr>
        <w:spacing w:line="480" w:lineRule="exact"/>
        <w:ind w:firstLine="560" w:firstLineChars="200"/>
        <w:rPr>
          <w:rFonts w:hint="eastAsia" w:ascii="仿宋_GB2312" w:hAnsi="华文中宋" w:eastAsia="仿宋_GB2312"/>
          <w:sz w:val="28"/>
          <w:szCs w:val="28"/>
        </w:rPr>
      </w:pPr>
      <w:r>
        <w:rPr>
          <w:rFonts w:hint="eastAsia" w:ascii="仿宋_GB2312" w:hAnsi="华文中宋" w:eastAsia="仿宋_GB2312"/>
          <w:sz w:val="28"/>
          <w:szCs w:val="28"/>
        </w:rPr>
        <w:t>乙方向甲方提交评估报告书共计</w:t>
      </w:r>
      <w:r>
        <w:rPr>
          <w:rFonts w:hint="eastAsia" w:ascii="仿宋_GB2312" w:hAnsi="华文中宋" w:eastAsia="仿宋_GB2312"/>
          <w:sz w:val="28"/>
          <w:szCs w:val="28"/>
          <w:u w:val="single"/>
        </w:rPr>
        <w:t xml:space="preserve">    </w:t>
      </w:r>
      <w:r>
        <w:rPr>
          <w:rFonts w:hint="eastAsia" w:ascii="仿宋_GB2312" w:hAnsi="华文中宋" w:eastAsia="仿宋_GB2312"/>
          <w:sz w:val="28"/>
          <w:szCs w:val="28"/>
        </w:rPr>
        <w:t>份，其中</w:t>
      </w:r>
      <w:r>
        <w:rPr>
          <w:rFonts w:hint="eastAsia" w:ascii="仿宋_GB2312" w:hAnsi="华文中宋" w:eastAsia="仿宋_GB2312"/>
          <w:sz w:val="28"/>
          <w:szCs w:val="28"/>
          <w:u w:val="single"/>
        </w:rPr>
        <w:t xml:space="preserve">    </w:t>
      </w:r>
      <w:r>
        <w:rPr>
          <w:rFonts w:hint="eastAsia" w:ascii="仿宋_GB2312" w:hAnsi="华文中宋" w:eastAsia="仿宋_GB2312"/>
          <w:sz w:val="28"/>
          <w:szCs w:val="28"/>
        </w:rPr>
        <w:t>份附带有关评估明细资料；评估报告仅供委托方和业务约定书约定的其他评估报告使用者使用，法律、法规另有规定的除外。评估报告中的评估结论仅供甲方为本业务约定书中的评估目的使用和送交财产评估主管机关审查使用，甲方应当合理使用评估报告，因甲方和其他评估报告使用者使用不当造成的后果注册资产评估师及其所在评估机构不承担因评估报告使用不当所造成后果的责任。</w:t>
      </w:r>
    </w:p>
    <w:p>
      <w:pPr>
        <w:numPr>
          <w:ilvl w:val="0"/>
          <w:numId w:val="5"/>
        </w:numPr>
        <w:spacing w:line="480" w:lineRule="exact"/>
        <w:rPr>
          <w:rFonts w:hint="eastAsia" w:ascii="仿宋_GB2312" w:hAnsi="华文中宋" w:eastAsia="仿宋_GB2312"/>
          <w:b/>
          <w:sz w:val="28"/>
          <w:szCs w:val="28"/>
        </w:rPr>
      </w:pPr>
      <w:r>
        <w:rPr>
          <w:rFonts w:hint="eastAsia" w:ascii="仿宋_GB2312" w:hAnsi="华文中宋" w:eastAsia="仿宋_GB2312"/>
          <w:b/>
          <w:sz w:val="28"/>
          <w:szCs w:val="28"/>
        </w:rPr>
        <w:t>约定事项的变更及违约责任</w:t>
      </w:r>
    </w:p>
    <w:p>
      <w:pPr>
        <w:spacing w:line="480" w:lineRule="exact"/>
        <w:ind w:firstLine="560" w:firstLineChars="200"/>
        <w:rPr>
          <w:rFonts w:hint="eastAsia" w:ascii="仿宋_GB2312" w:hAnsi="华文中宋" w:eastAsia="仿宋_GB2312"/>
          <w:sz w:val="28"/>
          <w:szCs w:val="28"/>
        </w:rPr>
      </w:pPr>
      <w:r>
        <w:rPr>
          <w:rFonts w:hint="eastAsia" w:ascii="仿宋_GB2312" w:hAnsi="华文中宋" w:eastAsia="仿宋_GB2312"/>
          <w:sz w:val="28"/>
          <w:szCs w:val="28"/>
        </w:rPr>
        <w:t>如因甲方原因致使本次评估工作终止，乙方已收取的费用不退还，甲方另应支付乙方已完成工作量相应的费用。</w:t>
      </w:r>
    </w:p>
    <w:p>
      <w:pPr>
        <w:spacing w:line="480" w:lineRule="exact"/>
        <w:ind w:firstLine="560" w:firstLineChars="200"/>
        <w:rPr>
          <w:rFonts w:hint="eastAsia" w:ascii="仿宋_GB2312" w:hAnsi="华文中宋" w:eastAsia="仿宋_GB2312"/>
          <w:sz w:val="28"/>
          <w:szCs w:val="28"/>
        </w:rPr>
      </w:pPr>
      <w:r>
        <w:rPr>
          <w:rFonts w:hint="eastAsia" w:ascii="仿宋_GB2312" w:hAnsi="华文中宋" w:eastAsia="仿宋_GB2312"/>
          <w:sz w:val="28"/>
          <w:szCs w:val="28"/>
        </w:rPr>
        <w:t>如乙方自身原因中途退出本次评估，乙方应双倍退还已收取的费用。</w:t>
      </w:r>
    </w:p>
    <w:p>
      <w:pPr>
        <w:spacing w:line="480" w:lineRule="exact"/>
        <w:ind w:firstLine="560" w:firstLineChars="200"/>
        <w:rPr>
          <w:rFonts w:hint="eastAsia" w:ascii="仿宋_GB2312" w:hAnsi="华文中宋" w:eastAsia="仿宋_GB2312"/>
          <w:sz w:val="28"/>
          <w:szCs w:val="28"/>
        </w:rPr>
      </w:pPr>
      <w:r>
        <w:rPr>
          <w:rFonts w:hint="eastAsia" w:ascii="仿宋_GB2312" w:hAnsi="华文中宋" w:eastAsia="仿宋_GB2312"/>
          <w:sz w:val="28"/>
          <w:szCs w:val="28"/>
        </w:rPr>
        <w:t>签约一方不履行约定义务或者履行约定义务不符合约定的，在履行义务或者采取补救措施后，对方还有其他损失的，应当赔偿损失。</w:t>
      </w:r>
    </w:p>
    <w:p>
      <w:pPr>
        <w:spacing w:line="480" w:lineRule="exact"/>
        <w:ind w:firstLine="560" w:firstLineChars="200"/>
        <w:rPr>
          <w:rFonts w:hint="eastAsia" w:ascii="仿宋_GB2312" w:hAnsi="华文中宋" w:eastAsia="仿宋_GB2312"/>
          <w:sz w:val="28"/>
          <w:szCs w:val="28"/>
        </w:rPr>
      </w:pPr>
      <w:r>
        <w:rPr>
          <w:rFonts w:hint="eastAsia" w:ascii="仿宋_GB2312" w:hAnsi="华文中宋" w:eastAsia="仿宋_GB2312"/>
          <w:sz w:val="28"/>
          <w:szCs w:val="28"/>
        </w:rPr>
        <w:t>签约各方因不可抗力无法履行业务约定书的，根据不可抗力的影响，部分或者全部免除责任，法律另有规定的除外。</w:t>
      </w:r>
    </w:p>
    <w:p>
      <w:pPr>
        <w:numPr>
          <w:ilvl w:val="0"/>
          <w:numId w:val="5"/>
        </w:numPr>
        <w:tabs>
          <w:tab w:val="left" w:pos="0"/>
        </w:tabs>
        <w:spacing w:line="480" w:lineRule="exact"/>
        <w:ind w:left="0" w:firstLine="180"/>
        <w:rPr>
          <w:rFonts w:hint="eastAsia" w:ascii="仿宋_GB2312" w:hAnsi="华文中宋" w:eastAsia="仿宋_GB2312"/>
          <w:b/>
          <w:sz w:val="28"/>
          <w:szCs w:val="28"/>
        </w:rPr>
      </w:pPr>
      <w:r>
        <w:rPr>
          <w:rFonts w:hint="eastAsia" w:ascii="仿宋_GB2312" w:hAnsi="华文中宋" w:eastAsia="仿宋_GB2312"/>
          <w:b/>
          <w:sz w:val="28"/>
          <w:szCs w:val="28"/>
        </w:rPr>
        <w:t>纠纷解决</w:t>
      </w:r>
    </w:p>
    <w:p>
      <w:pPr>
        <w:spacing w:line="480" w:lineRule="exact"/>
        <w:ind w:firstLine="560" w:firstLineChars="200"/>
        <w:rPr>
          <w:rFonts w:hint="eastAsia" w:ascii="仿宋_GB2312" w:hAnsi="华文中宋" w:eastAsia="仿宋_GB2312"/>
          <w:sz w:val="28"/>
          <w:szCs w:val="28"/>
        </w:rPr>
      </w:pPr>
      <w:r>
        <w:rPr>
          <w:rFonts w:hint="eastAsia" w:ascii="仿宋_GB2312" w:hAnsi="华文中宋" w:eastAsia="仿宋_GB2312"/>
          <w:sz w:val="28"/>
          <w:szCs w:val="28"/>
        </w:rPr>
        <w:t>凡与本合同有关而引起的一切争议，双方应首先通过友好协商解决，协商不成时，可向甲方所在地人民法院提起诉讼。</w:t>
      </w:r>
    </w:p>
    <w:p>
      <w:pPr>
        <w:numPr>
          <w:ilvl w:val="0"/>
          <w:numId w:val="5"/>
        </w:numPr>
        <w:spacing w:line="480" w:lineRule="exact"/>
        <w:rPr>
          <w:rFonts w:hint="eastAsia" w:ascii="仿宋_GB2312" w:hAnsi="华文中宋" w:eastAsia="仿宋_GB2312"/>
          <w:b/>
          <w:sz w:val="28"/>
          <w:szCs w:val="28"/>
        </w:rPr>
      </w:pPr>
      <w:r>
        <w:rPr>
          <w:rFonts w:hint="eastAsia" w:ascii="仿宋_GB2312" w:hAnsi="华文中宋" w:eastAsia="仿宋_GB2312"/>
          <w:b/>
          <w:sz w:val="28"/>
          <w:szCs w:val="28"/>
        </w:rPr>
        <w:t>业务约定书生效期，本约定书自双方签字盖章之日起生效。</w:t>
      </w:r>
    </w:p>
    <w:p>
      <w:pPr>
        <w:numPr>
          <w:ilvl w:val="0"/>
          <w:numId w:val="5"/>
        </w:numPr>
        <w:spacing w:line="480" w:lineRule="exact"/>
        <w:rPr>
          <w:rFonts w:hint="eastAsia" w:ascii="仿宋_GB2312" w:hAnsi="华文中宋" w:eastAsia="仿宋_GB2312"/>
          <w:b/>
          <w:sz w:val="28"/>
          <w:szCs w:val="28"/>
        </w:rPr>
      </w:pPr>
      <w:r>
        <w:rPr>
          <w:rFonts w:hint="eastAsia" w:ascii="仿宋_GB2312" w:hAnsi="华文中宋" w:eastAsia="仿宋_GB2312"/>
          <w:b/>
          <w:sz w:val="28"/>
          <w:szCs w:val="28"/>
        </w:rPr>
        <w:t>本约定书一式陆份，甲方执肆份，乙方执贰份。</w:t>
      </w:r>
    </w:p>
    <w:p>
      <w:pPr>
        <w:numPr>
          <w:ilvl w:val="0"/>
          <w:numId w:val="5"/>
        </w:numPr>
        <w:spacing w:line="480" w:lineRule="exact"/>
        <w:rPr>
          <w:rFonts w:hint="eastAsia" w:ascii="仿宋_GB2312" w:hAnsi="华文中宋" w:eastAsia="仿宋_GB2312"/>
          <w:b/>
          <w:sz w:val="28"/>
          <w:szCs w:val="28"/>
        </w:rPr>
      </w:pPr>
      <w:r>
        <w:rPr>
          <w:rFonts w:hint="eastAsia" w:ascii="仿宋_GB2312" w:hAnsi="华文中宋" w:eastAsia="仿宋_GB2312"/>
          <w:b/>
          <w:sz w:val="28"/>
          <w:szCs w:val="28"/>
        </w:rPr>
        <w:t>甲乙双方对其他有关事宜的约定。</w:t>
      </w:r>
    </w:p>
    <w:p>
      <w:pPr>
        <w:spacing w:line="480" w:lineRule="exact"/>
        <w:ind w:left="180"/>
        <w:rPr>
          <w:rFonts w:hint="eastAsia" w:ascii="仿宋_GB2312" w:hAnsi="华文中宋" w:eastAsia="仿宋_GB2312"/>
          <w:b/>
          <w:sz w:val="28"/>
          <w:szCs w:val="28"/>
        </w:rPr>
      </w:pPr>
    </w:p>
    <w:p>
      <w:pPr>
        <w:spacing w:line="480" w:lineRule="exact"/>
        <w:ind w:left="180"/>
        <w:rPr>
          <w:rFonts w:hint="eastAsia" w:ascii="仿宋_GB2312" w:hAnsi="华文中宋" w:eastAsia="仿宋_GB2312"/>
          <w:b/>
          <w:sz w:val="28"/>
          <w:szCs w:val="28"/>
        </w:rPr>
      </w:pPr>
      <w:r>
        <w:rPr>
          <w:rFonts w:hint="eastAsia" w:ascii="仿宋_GB2312" w:hAnsi="华文中宋" w:eastAsia="仿宋_GB2312"/>
          <w:b/>
          <w:sz w:val="28"/>
          <w:szCs w:val="28"/>
        </w:rPr>
        <w:t>附件：资产评估项目明细表</w:t>
      </w:r>
    </w:p>
    <w:p>
      <w:pPr>
        <w:spacing w:line="480" w:lineRule="exact"/>
        <w:ind w:left="180"/>
        <w:rPr>
          <w:rFonts w:hint="eastAsia" w:ascii="仿宋_GB2312" w:hAnsi="华文中宋" w:eastAsia="仿宋_GB2312"/>
          <w:b/>
          <w:sz w:val="28"/>
          <w:szCs w:val="28"/>
        </w:rPr>
      </w:pPr>
    </w:p>
    <w:p>
      <w:pPr>
        <w:spacing w:line="200" w:lineRule="exact"/>
        <w:rPr>
          <w:rFonts w:hint="eastAsia" w:ascii="仿宋_GB2312" w:hAnsi="华文中宋" w:eastAsia="仿宋_GB2312"/>
          <w:sz w:val="28"/>
          <w:szCs w:val="28"/>
        </w:rPr>
      </w:pPr>
    </w:p>
    <w:p>
      <w:pPr>
        <w:spacing w:line="500" w:lineRule="exact"/>
        <w:rPr>
          <w:rFonts w:hint="eastAsia" w:ascii="仿宋_GB2312" w:hAnsi="华文中宋" w:eastAsia="仿宋_GB2312"/>
          <w:sz w:val="28"/>
          <w:szCs w:val="28"/>
        </w:rPr>
      </w:pPr>
      <w:r>
        <w:rPr>
          <w:rFonts w:hint="eastAsia" w:ascii="仿宋_GB2312" w:hAnsi="华文中宋" w:eastAsia="仿宋_GB2312"/>
          <w:sz w:val="28"/>
          <w:szCs w:val="28"/>
        </w:rPr>
        <w:t xml:space="preserve">甲方：南宁建宁水务投资集团          乙方：        </w:t>
      </w:r>
    </w:p>
    <w:p>
      <w:pPr>
        <w:spacing w:line="500" w:lineRule="exact"/>
        <w:rPr>
          <w:rFonts w:hint="eastAsia" w:ascii="仿宋_GB2312" w:hAnsi="华文中宋" w:eastAsia="仿宋_GB2312"/>
          <w:sz w:val="28"/>
          <w:szCs w:val="28"/>
        </w:rPr>
      </w:pPr>
      <w:r>
        <w:rPr>
          <w:rFonts w:hint="eastAsia" w:ascii="仿宋_GB2312" w:hAnsi="华文中宋" w:eastAsia="仿宋_GB2312"/>
          <w:sz w:val="28"/>
          <w:szCs w:val="28"/>
        </w:rPr>
        <w:t xml:space="preserve">      有限责任公司                          </w:t>
      </w:r>
    </w:p>
    <w:p>
      <w:pPr>
        <w:spacing w:line="500" w:lineRule="exact"/>
        <w:rPr>
          <w:rFonts w:hint="eastAsia" w:ascii="仿宋_GB2312" w:hAnsi="华文中宋" w:eastAsia="仿宋_GB2312"/>
          <w:sz w:val="28"/>
          <w:szCs w:val="28"/>
        </w:rPr>
      </w:pPr>
      <w:r>
        <w:rPr>
          <w:rFonts w:hint="eastAsia" w:ascii="仿宋_GB2312" w:hAnsi="华文中宋" w:eastAsia="仿宋_GB2312"/>
          <w:sz w:val="28"/>
          <w:szCs w:val="28"/>
        </w:rPr>
        <w:t xml:space="preserve">法人代表或授权人：                  法人代表或授权人：            </w:t>
      </w:r>
    </w:p>
    <w:p>
      <w:pPr>
        <w:spacing w:line="500" w:lineRule="exact"/>
        <w:rPr>
          <w:rFonts w:hint="eastAsia" w:ascii="仿宋_GB2312" w:hAnsi="华文中宋" w:eastAsia="仿宋_GB2312"/>
          <w:sz w:val="28"/>
          <w:szCs w:val="28"/>
        </w:rPr>
      </w:pPr>
      <w:r>
        <w:rPr>
          <w:rFonts w:hint="eastAsia" w:ascii="仿宋_GB2312" w:hAnsi="华文中宋" w:eastAsia="仿宋_GB2312"/>
          <w:sz w:val="28"/>
          <w:szCs w:val="28"/>
        </w:rPr>
        <w:t>经办人：                            经办人：</w:t>
      </w:r>
    </w:p>
    <w:p>
      <w:pPr>
        <w:spacing w:line="500" w:lineRule="exact"/>
        <w:rPr>
          <w:rFonts w:hint="eastAsia" w:ascii="仿宋_GB2312" w:hAnsi="华文中宋" w:eastAsia="仿宋_GB2312"/>
          <w:sz w:val="28"/>
          <w:szCs w:val="28"/>
        </w:rPr>
      </w:pPr>
      <w:r>
        <w:rPr>
          <w:rFonts w:hint="eastAsia" w:ascii="仿宋_GB2312" w:hAnsi="华文中宋" w:eastAsia="仿宋_GB2312"/>
          <w:sz w:val="28"/>
          <w:szCs w:val="28"/>
        </w:rPr>
        <w:t xml:space="preserve">电话：0771-                </w:t>
      </w:r>
      <w:r>
        <w:rPr>
          <w:rFonts w:hint="eastAsia" w:ascii="仿宋_GB2312" w:hAnsi="华文中宋" w:eastAsia="仿宋_GB2312"/>
          <w:sz w:val="28"/>
          <w:szCs w:val="28"/>
          <w:lang w:val="en-US" w:eastAsia="zh-CN"/>
        </w:rPr>
        <w:t xml:space="preserve">         </w:t>
      </w:r>
      <w:r>
        <w:rPr>
          <w:rFonts w:hint="eastAsia" w:ascii="仿宋_GB2312" w:hAnsi="华文中宋" w:eastAsia="仿宋_GB2312"/>
          <w:sz w:val="28"/>
          <w:szCs w:val="28"/>
        </w:rPr>
        <w:t>电话：</w:t>
      </w:r>
    </w:p>
    <w:p>
      <w:pPr>
        <w:spacing w:line="470" w:lineRule="exact"/>
        <w:ind w:left="6720" w:hanging="6720" w:hangingChars="2400"/>
        <w:rPr>
          <w:rFonts w:hint="eastAsia" w:ascii="仿宋_GB2312" w:hAnsi="华文中宋" w:eastAsia="仿宋_GB2312" w:cs="仿宋_GB2312"/>
          <w:sz w:val="28"/>
          <w:szCs w:val="28"/>
        </w:rPr>
      </w:pPr>
      <w:r>
        <w:rPr>
          <w:rFonts w:hint="eastAsia" w:ascii="仿宋_GB2312" w:hAnsi="华文中宋" w:eastAsia="仿宋_GB2312"/>
          <w:sz w:val="28"/>
          <w:szCs w:val="28"/>
        </w:rPr>
        <w:t>地址：南宁</w:t>
      </w:r>
      <w:r>
        <w:rPr>
          <w:rFonts w:hint="eastAsia" w:ascii="仿宋_GB2312" w:hAnsi="华文中宋" w:eastAsia="仿宋_GB2312"/>
          <w:sz w:val="28"/>
          <w:szCs w:val="28"/>
          <w:lang w:eastAsia="zh-CN"/>
        </w:rPr>
        <w:t>市江南区体育路</w:t>
      </w:r>
      <w:r>
        <w:rPr>
          <w:rFonts w:hint="eastAsia" w:ascii="仿宋_GB2312" w:hAnsi="华文中宋" w:eastAsia="仿宋_GB2312"/>
          <w:sz w:val="28"/>
          <w:szCs w:val="28"/>
          <w:lang w:val="en-US" w:eastAsia="zh-CN"/>
        </w:rPr>
        <w:t xml:space="preserve">4号 </w:t>
      </w:r>
      <w:r>
        <w:rPr>
          <w:rFonts w:hint="eastAsia" w:ascii="仿宋_GB2312" w:hAnsi="华文中宋" w:eastAsia="仿宋_GB2312"/>
          <w:sz w:val="28"/>
          <w:szCs w:val="28"/>
        </w:rPr>
        <w:t xml:space="preserve">       地址：                  </w:t>
      </w:r>
      <w:r>
        <w:rPr>
          <w:rFonts w:hint="eastAsia" w:ascii="仿宋_GB2312" w:hAnsi="华文中宋" w:eastAsia="仿宋_GB2312" w:cs="仿宋_GB2312"/>
          <w:sz w:val="28"/>
          <w:szCs w:val="28"/>
        </w:rPr>
        <w:t xml:space="preserve">              </w:t>
      </w:r>
    </w:p>
    <w:p>
      <w:pPr>
        <w:spacing w:line="500" w:lineRule="exact"/>
        <w:rPr>
          <w:rFonts w:hint="eastAsia" w:ascii="仿宋_GB2312" w:hAnsi="华文中宋" w:eastAsia="仿宋_GB2312"/>
          <w:sz w:val="28"/>
          <w:szCs w:val="28"/>
        </w:rPr>
      </w:pPr>
      <w:r>
        <w:rPr>
          <w:rFonts w:hint="eastAsia" w:ascii="仿宋_GB2312" w:hAnsi="华文中宋" w:eastAsia="仿宋_GB2312"/>
          <w:sz w:val="28"/>
          <w:szCs w:val="28"/>
        </w:rPr>
        <w:t xml:space="preserve">邮编：530031                        邮编：                                 </w:t>
      </w:r>
    </w:p>
    <w:p>
      <w:r>
        <w:rPr>
          <w:rFonts w:hint="eastAsia" w:ascii="仿宋_GB2312" w:hAnsi="华文中宋" w:eastAsia="仿宋_GB2312"/>
          <w:sz w:val="28"/>
          <w:szCs w:val="28"/>
        </w:rPr>
        <w:t xml:space="preserve">签订日期：   年   月   日           签订日期：   年   月   日  </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lvl w:ilvl="0" w:tentative="0">
      <w:start w:val="1"/>
      <w:numFmt w:val="japaneseCounting"/>
      <w:lvlText w:val="%1、"/>
      <w:lvlJc w:val="left"/>
      <w:pPr>
        <w:tabs>
          <w:tab w:val="left" w:pos="600"/>
        </w:tabs>
        <w:ind w:left="600" w:hanging="4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37D76AFB"/>
    <w:multiLevelType w:val="multilevel"/>
    <w:tmpl w:val="37D76AFB"/>
    <w:lvl w:ilvl="0" w:tentative="0">
      <w:start w:val="1"/>
      <w:numFmt w:val="lowerLetter"/>
      <w:lvlText w:val="%1．"/>
      <w:lvlJc w:val="left"/>
      <w:pPr>
        <w:tabs>
          <w:tab w:val="left" w:pos="1152"/>
        </w:tabs>
        <w:ind w:left="1152" w:hanging="480"/>
      </w:pPr>
      <w:rPr>
        <w:rFonts w:hint="default"/>
      </w:rPr>
    </w:lvl>
    <w:lvl w:ilvl="1" w:tentative="0">
      <w:start w:val="1"/>
      <w:numFmt w:val="lowerLetter"/>
      <w:lvlText w:val="%2)"/>
      <w:lvlJc w:val="left"/>
      <w:pPr>
        <w:tabs>
          <w:tab w:val="left" w:pos="1512"/>
        </w:tabs>
        <w:ind w:left="1512" w:hanging="420"/>
      </w:pPr>
    </w:lvl>
    <w:lvl w:ilvl="2" w:tentative="0">
      <w:start w:val="1"/>
      <w:numFmt w:val="lowerRoman"/>
      <w:lvlText w:val="%3."/>
      <w:lvlJc w:val="right"/>
      <w:pPr>
        <w:tabs>
          <w:tab w:val="left" w:pos="1932"/>
        </w:tabs>
        <w:ind w:left="1932" w:hanging="420"/>
      </w:pPr>
    </w:lvl>
    <w:lvl w:ilvl="3" w:tentative="0">
      <w:start w:val="1"/>
      <w:numFmt w:val="decimal"/>
      <w:lvlText w:val="%4."/>
      <w:lvlJc w:val="left"/>
      <w:pPr>
        <w:tabs>
          <w:tab w:val="left" w:pos="2352"/>
        </w:tabs>
        <w:ind w:left="2352" w:hanging="420"/>
      </w:pPr>
    </w:lvl>
    <w:lvl w:ilvl="4" w:tentative="0">
      <w:start w:val="1"/>
      <w:numFmt w:val="lowerLetter"/>
      <w:lvlText w:val="%5)"/>
      <w:lvlJc w:val="left"/>
      <w:pPr>
        <w:tabs>
          <w:tab w:val="left" w:pos="2772"/>
        </w:tabs>
        <w:ind w:left="2772" w:hanging="420"/>
      </w:pPr>
    </w:lvl>
    <w:lvl w:ilvl="5" w:tentative="0">
      <w:start w:val="1"/>
      <w:numFmt w:val="lowerRoman"/>
      <w:lvlText w:val="%6."/>
      <w:lvlJc w:val="right"/>
      <w:pPr>
        <w:tabs>
          <w:tab w:val="left" w:pos="3192"/>
        </w:tabs>
        <w:ind w:left="3192" w:hanging="420"/>
      </w:pPr>
    </w:lvl>
    <w:lvl w:ilvl="6" w:tentative="0">
      <w:start w:val="1"/>
      <w:numFmt w:val="decimal"/>
      <w:lvlText w:val="%7."/>
      <w:lvlJc w:val="left"/>
      <w:pPr>
        <w:tabs>
          <w:tab w:val="left" w:pos="3612"/>
        </w:tabs>
        <w:ind w:left="3612" w:hanging="420"/>
      </w:pPr>
    </w:lvl>
    <w:lvl w:ilvl="7" w:tentative="0">
      <w:start w:val="1"/>
      <w:numFmt w:val="lowerLetter"/>
      <w:lvlText w:val="%8)"/>
      <w:lvlJc w:val="left"/>
      <w:pPr>
        <w:tabs>
          <w:tab w:val="left" w:pos="4032"/>
        </w:tabs>
        <w:ind w:left="4032" w:hanging="420"/>
      </w:pPr>
    </w:lvl>
    <w:lvl w:ilvl="8" w:tentative="0">
      <w:start w:val="1"/>
      <w:numFmt w:val="lowerRoman"/>
      <w:lvlText w:val="%9."/>
      <w:lvlJc w:val="right"/>
      <w:pPr>
        <w:tabs>
          <w:tab w:val="left" w:pos="4452"/>
        </w:tabs>
        <w:ind w:left="4452" w:hanging="420"/>
      </w:pPr>
    </w:lvl>
  </w:abstractNum>
  <w:abstractNum w:abstractNumId="2">
    <w:nsid w:val="3C0F38B4"/>
    <w:multiLevelType w:val="multilevel"/>
    <w:tmpl w:val="3C0F38B4"/>
    <w:lvl w:ilvl="0" w:tentative="0">
      <w:start w:val="1"/>
      <w:numFmt w:val="lowerLetter"/>
      <w:lvlText w:val="%1．"/>
      <w:lvlJc w:val="left"/>
      <w:pPr>
        <w:tabs>
          <w:tab w:val="left" w:pos="1152"/>
        </w:tabs>
        <w:ind w:left="1152" w:hanging="480"/>
      </w:pPr>
      <w:rPr>
        <w:rFonts w:hint="default"/>
      </w:rPr>
    </w:lvl>
    <w:lvl w:ilvl="1" w:tentative="0">
      <w:start w:val="1"/>
      <w:numFmt w:val="lowerLetter"/>
      <w:lvlText w:val="%2)"/>
      <w:lvlJc w:val="left"/>
      <w:pPr>
        <w:tabs>
          <w:tab w:val="left" w:pos="1512"/>
        </w:tabs>
        <w:ind w:left="1512" w:hanging="420"/>
      </w:pPr>
    </w:lvl>
    <w:lvl w:ilvl="2" w:tentative="0">
      <w:start w:val="1"/>
      <w:numFmt w:val="lowerRoman"/>
      <w:lvlText w:val="%3."/>
      <w:lvlJc w:val="right"/>
      <w:pPr>
        <w:tabs>
          <w:tab w:val="left" w:pos="1932"/>
        </w:tabs>
        <w:ind w:left="1932" w:hanging="420"/>
      </w:pPr>
    </w:lvl>
    <w:lvl w:ilvl="3" w:tentative="0">
      <w:start w:val="1"/>
      <w:numFmt w:val="decimal"/>
      <w:lvlText w:val="%4."/>
      <w:lvlJc w:val="left"/>
      <w:pPr>
        <w:tabs>
          <w:tab w:val="left" w:pos="2352"/>
        </w:tabs>
        <w:ind w:left="2352" w:hanging="420"/>
      </w:pPr>
    </w:lvl>
    <w:lvl w:ilvl="4" w:tentative="0">
      <w:start w:val="1"/>
      <w:numFmt w:val="lowerLetter"/>
      <w:lvlText w:val="%5)"/>
      <w:lvlJc w:val="left"/>
      <w:pPr>
        <w:tabs>
          <w:tab w:val="left" w:pos="2772"/>
        </w:tabs>
        <w:ind w:left="2772" w:hanging="420"/>
      </w:pPr>
    </w:lvl>
    <w:lvl w:ilvl="5" w:tentative="0">
      <w:start w:val="1"/>
      <w:numFmt w:val="lowerRoman"/>
      <w:lvlText w:val="%6."/>
      <w:lvlJc w:val="right"/>
      <w:pPr>
        <w:tabs>
          <w:tab w:val="left" w:pos="3192"/>
        </w:tabs>
        <w:ind w:left="3192" w:hanging="420"/>
      </w:pPr>
    </w:lvl>
    <w:lvl w:ilvl="6" w:tentative="0">
      <w:start w:val="1"/>
      <w:numFmt w:val="decimal"/>
      <w:lvlText w:val="%7."/>
      <w:lvlJc w:val="left"/>
      <w:pPr>
        <w:tabs>
          <w:tab w:val="left" w:pos="3612"/>
        </w:tabs>
        <w:ind w:left="3612" w:hanging="420"/>
      </w:pPr>
    </w:lvl>
    <w:lvl w:ilvl="7" w:tentative="0">
      <w:start w:val="1"/>
      <w:numFmt w:val="lowerLetter"/>
      <w:lvlText w:val="%8)"/>
      <w:lvlJc w:val="left"/>
      <w:pPr>
        <w:tabs>
          <w:tab w:val="left" w:pos="4032"/>
        </w:tabs>
        <w:ind w:left="4032" w:hanging="420"/>
      </w:pPr>
    </w:lvl>
    <w:lvl w:ilvl="8" w:tentative="0">
      <w:start w:val="1"/>
      <w:numFmt w:val="lowerRoman"/>
      <w:lvlText w:val="%9."/>
      <w:lvlJc w:val="right"/>
      <w:pPr>
        <w:tabs>
          <w:tab w:val="left" w:pos="4452"/>
        </w:tabs>
        <w:ind w:left="4452" w:hanging="420"/>
      </w:pPr>
    </w:lvl>
  </w:abstractNum>
  <w:abstractNum w:abstractNumId="3">
    <w:nsid w:val="635327E6"/>
    <w:multiLevelType w:val="multilevel"/>
    <w:tmpl w:val="635327E6"/>
    <w:lvl w:ilvl="0" w:tentative="0">
      <w:start w:val="1"/>
      <w:numFmt w:val="decimal"/>
      <w:lvlText w:val="（%1）"/>
      <w:lvlJc w:val="left"/>
      <w:pPr>
        <w:tabs>
          <w:tab w:val="left" w:pos="1725"/>
        </w:tabs>
        <w:ind w:left="1725" w:hanging="1080"/>
      </w:pPr>
      <w:rPr>
        <w:rFonts w:hint="default"/>
      </w:rPr>
    </w:lvl>
    <w:lvl w:ilvl="1" w:tentative="0">
      <w:start w:val="1"/>
      <w:numFmt w:val="lowerLetter"/>
      <w:lvlText w:val="%2)"/>
      <w:lvlJc w:val="left"/>
      <w:pPr>
        <w:tabs>
          <w:tab w:val="left" w:pos="1485"/>
        </w:tabs>
        <w:ind w:left="1485" w:hanging="420"/>
      </w:pPr>
    </w:lvl>
    <w:lvl w:ilvl="2" w:tentative="0">
      <w:start w:val="1"/>
      <w:numFmt w:val="lowerRoman"/>
      <w:lvlText w:val="%3."/>
      <w:lvlJc w:val="right"/>
      <w:pPr>
        <w:tabs>
          <w:tab w:val="left" w:pos="1905"/>
        </w:tabs>
        <w:ind w:left="1905" w:hanging="420"/>
      </w:pPr>
    </w:lvl>
    <w:lvl w:ilvl="3" w:tentative="0">
      <w:start w:val="1"/>
      <w:numFmt w:val="decimal"/>
      <w:lvlText w:val="%4."/>
      <w:lvlJc w:val="left"/>
      <w:pPr>
        <w:tabs>
          <w:tab w:val="left" w:pos="2325"/>
        </w:tabs>
        <w:ind w:left="2325" w:hanging="420"/>
      </w:pPr>
    </w:lvl>
    <w:lvl w:ilvl="4" w:tentative="0">
      <w:start w:val="1"/>
      <w:numFmt w:val="lowerLetter"/>
      <w:lvlText w:val="%5)"/>
      <w:lvlJc w:val="left"/>
      <w:pPr>
        <w:tabs>
          <w:tab w:val="left" w:pos="2745"/>
        </w:tabs>
        <w:ind w:left="2745" w:hanging="420"/>
      </w:pPr>
    </w:lvl>
    <w:lvl w:ilvl="5" w:tentative="0">
      <w:start w:val="1"/>
      <w:numFmt w:val="lowerRoman"/>
      <w:lvlText w:val="%6."/>
      <w:lvlJc w:val="right"/>
      <w:pPr>
        <w:tabs>
          <w:tab w:val="left" w:pos="3165"/>
        </w:tabs>
        <w:ind w:left="3165" w:hanging="420"/>
      </w:pPr>
    </w:lvl>
    <w:lvl w:ilvl="6" w:tentative="0">
      <w:start w:val="1"/>
      <w:numFmt w:val="decimal"/>
      <w:lvlText w:val="%7."/>
      <w:lvlJc w:val="left"/>
      <w:pPr>
        <w:tabs>
          <w:tab w:val="left" w:pos="3585"/>
        </w:tabs>
        <w:ind w:left="3585" w:hanging="420"/>
      </w:pPr>
    </w:lvl>
    <w:lvl w:ilvl="7" w:tentative="0">
      <w:start w:val="1"/>
      <w:numFmt w:val="lowerLetter"/>
      <w:lvlText w:val="%8)"/>
      <w:lvlJc w:val="left"/>
      <w:pPr>
        <w:tabs>
          <w:tab w:val="left" w:pos="4005"/>
        </w:tabs>
        <w:ind w:left="4005" w:hanging="420"/>
      </w:pPr>
    </w:lvl>
    <w:lvl w:ilvl="8" w:tentative="0">
      <w:start w:val="1"/>
      <w:numFmt w:val="lowerRoman"/>
      <w:lvlText w:val="%9."/>
      <w:lvlJc w:val="right"/>
      <w:pPr>
        <w:tabs>
          <w:tab w:val="left" w:pos="4425"/>
        </w:tabs>
        <w:ind w:left="4425" w:hanging="420"/>
      </w:pPr>
    </w:lvl>
  </w:abstractNum>
  <w:abstractNum w:abstractNumId="4">
    <w:nsid w:val="7D2E2180"/>
    <w:multiLevelType w:val="multilevel"/>
    <w:tmpl w:val="7D2E2180"/>
    <w:lvl w:ilvl="0" w:tentative="0">
      <w:start w:val="1"/>
      <w:numFmt w:val="upperLetter"/>
      <w:lvlText w:val="%1．"/>
      <w:lvlJc w:val="left"/>
      <w:pPr>
        <w:tabs>
          <w:tab w:val="left" w:pos="1152"/>
        </w:tabs>
        <w:ind w:left="1152" w:hanging="480"/>
      </w:pPr>
      <w:rPr>
        <w:rFonts w:hint="default"/>
      </w:rPr>
    </w:lvl>
    <w:lvl w:ilvl="1" w:tentative="0">
      <w:start w:val="1"/>
      <w:numFmt w:val="lowerLetter"/>
      <w:lvlText w:val="%2)"/>
      <w:lvlJc w:val="left"/>
      <w:pPr>
        <w:tabs>
          <w:tab w:val="left" w:pos="1512"/>
        </w:tabs>
        <w:ind w:left="1512" w:hanging="420"/>
      </w:pPr>
    </w:lvl>
    <w:lvl w:ilvl="2" w:tentative="0">
      <w:start w:val="1"/>
      <w:numFmt w:val="lowerRoman"/>
      <w:lvlText w:val="%3."/>
      <w:lvlJc w:val="right"/>
      <w:pPr>
        <w:tabs>
          <w:tab w:val="left" w:pos="1932"/>
        </w:tabs>
        <w:ind w:left="1932" w:hanging="420"/>
      </w:pPr>
    </w:lvl>
    <w:lvl w:ilvl="3" w:tentative="0">
      <w:start w:val="1"/>
      <w:numFmt w:val="decimal"/>
      <w:lvlText w:val="%4."/>
      <w:lvlJc w:val="left"/>
      <w:pPr>
        <w:tabs>
          <w:tab w:val="left" w:pos="2352"/>
        </w:tabs>
        <w:ind w:left="2352" w:hanging="420"/>
      </w:pPr>
    </w:lvl>
    <w:lvl w:ilvl="4" w:tentative="0">
      <w:start w:val="1"/>
      <w:numFmt w:val="lowerLetter"/>
      <w:lvlText w:val="%5)"/>
      <w:lvlJc w:val="left"/>
      <w:pPr>
        <w:tabs>
          <w:tab w:val="left" w:pos="2772"/>
        </w:tabs>
        <w:ind w:left="2772" w:hanging="420"/>
      </w:pPr>
    </w:lvl>
    <w:lvl w:ilvl="5" w:tentative="0">
      <w:start w:val="1"/>
      <w:numFmt w:val="lowerRoman"/>
      <w:lvlText w:val="%6."/>
      <w:lvlJc w:val="right"/>
      <w:pPr>
        <w:tabs>
          <w:tab w:val="left" w:pos="3192"/>
        </w:tabs>
        <w:ind w:left="3192" w:hanging="420"/>
      </w:pPr>
    </w:lvl>
    <w:lvl w:ilvl="6" w:tentative="0">
      <w:start w:val="1"/>
      <w:numFmt w:val="decimal"/>
      <w:lvlText w:val="%7."/>
      <w:lvlJc w:val="left"/>
      <w:pPr>
        <w:tabs>
          <w:tab w:val="left" w:pos="3612"/>
        </w:tabs>
        <w:ind w:left="3612" w:hanging="420"/>
      </w:pPr>
    </w:lvl>
    <w:lvl w:ilvl="7" w:tentative="0">
      <w:start w:val="1"/>
      <w:numFmt w:val="lowerLetter"/>
      <w:lvlText w:val="%8)"/>
      <w:lvlJc w:val="left"/>
      <w:pPr>
        <w:tabs>
          <w:tab w:val="left" w:pos="4032"/>
        </w:tabs>
        <w:ind w:left="4032" w:hanging="420"/>
      </w:pPr>
    </w:lvl>
    <w:lvl w:ilvl="8" w:tentative="0">
      <w:start w:val="1"/>
      <w:numFmt w:val="lowerRoman"/>
      <w:lvlText w:val="%9."/>
      <w:lvlJc w:val="right"/>
      <w:pPr>
        <w:tabs>
          <w:tab w:val="left" w:pos="4452"/>
        </w:tabs>
        <w:ind w:left="4452" w:hanging="420"/>
      </w:p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E852B0"/>
    <w:rsid w:val="5EE852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link w:val="6"/>
    <w:semiHidden/>
    <w:uiPriority w:val="0"/>
    <w:rPr>
      <w:szCs w:val="20"/>
    </w:rPr>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paragraph" w:customStyle="1" w:styleId="6">
    <w:name w:val="Char2 Char Char Char"/>
    <w:basedOn w:val="1"/>
    <w:link w:val="5"/>
    <w:uiPriority w:val="0"/>
    <w:rPr>
      <w:szCs w:val="20"/>
    </w:rPr>
  </w:style>
  <w:style w:type="character" w:styleId="7">
    <w:name w:val="page number"/>
    <w:basedOn w:val="5"/>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2020-04-15T07:23:00Z</dcterms:created>
  <dc:creator> 男瞳</dc:creator>
  <cp:lastModifiedBy> 男瞳</cp:lastModifiedBy>
  <dcterms:modified xsi:type="dcterms:W3CDTF">2020-04-15T07:28:43Z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